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54" w:rsidRPr="00DC3554" w:rsidRDefault="00DC3554" w:rsidP="00DC3554">
      <w:pPr>
        <w:pBdr>
          <w:bottom w:val="single" w:sz="24" w:space="2" w:color="363636"/>
        </w:pBdr>
        <w:spacing w:before="75" w:after="225" w:line="336" w:lineRule="atLeast"/>
        <w:outlineLvl w:val="0"/>
        <w:rPr>
          <w:rFonts w:ascii="Arial Narrow" w:eastAsia="Times New Roman" w:hAnsi="Arial Narrow" w:cs="Times New Roman"/>
          <w:noProof w:val="0"/>
          <w:kern w:val="36"/>
          <w:sz w:val="33"/>
          <w:szCs w:val="33"/>
          <w:lang w:eastAsia="tr-TR"/>
        </w:rPr>
      </w:pPr>
      <w:r w:rsidRPr="00DC3554">
        <w:rPr>
          <w:rFonts w:ascii="Arial Narrow" w:eastAsia="Times New Roman" w:hAnsi="Arial Narrow" w:cs="Times New Roman"/>
          <w:noProof w:val="0"/>
          <w:kern w:val="36"/>
          <w:sz w:val="33"/>
          <w:szCs w:val="33"/>
          <w:lang w:eastAsia="tr-TR"/>
        </w:rPr>
        <w:fldChar w:fldCharType="begin"/>
      </w:r>
      <w:r w:rsidRPr="00DC3554">
        <w:rPr>
          <w:rFonts w:ascii="Arial Narrow" w:eastAsia="Times New Roman" w:hAnsi="Arial Narrow" w:cs="Times New Roman"/>
          <w:noProof w:val="0"/>
          <w:kern w:val="36"/>
          <w:sz w:val="33"/>
          <w:szCs w:val="33"/>
          <w:lang w:eastAsia="tr-TR"/>
        </w:rPr>
        <w:instrText xml:space="preserve"> HYPERLINK "http://vetstudentresearch.blogspot.com/2015/06/measuring-milk-quality-scc-somatic-cell.html" </w:instrText>
      </w:r>
      <w:r w:rsidRPr="00DC3554">
        <w:rPr>
          <w:rFonts w:ascii="Arial Narrow" w:eastAsia="Times New Roman" w:hAnsi="Arial Narrow" w:cs="Times New Roman"/>
          <w:noProof w:val="0"/>
          <w:kern w:val="36"/>
          <w:sz w:val="33"/>
          <w:szCs w:val="33"/>
          <w:lang w:eastAsia="tr-TR"/>
        </w:rPr>
        <w:fldChar w:fldCharType="separate"/>
      </w:r>
      <w:proofErr w:type="spellStart"/>
      <w:r w:rsidRPr="00DC3554">
        <w:rPr>
          <w:rFonts w:ascii="Arial Narrow" w:eastAsia="Times New Roman" w:hAnsi="Arial Narrow" w:cs="Times New Roman"/>
          <w:noProof w:val="0"/>
          <w:color w:val="363636"/>
          <w:kern w:val="36"/>
          <w:sz w:val="33"/>
          <w:szCs w:val="33"/>
          <w:u w:val="single"/>
          <w:lang w:eastAsia="tr-TR"/>
        </w:rPr>
        <w:t>Measuring</w:t>
      </w:r>
      <w:proofErr w:type="spellEnd"/>
      <w:r w:rsidRPr="00DC3554">
        <w:rPr>
          <w:rFonts w:ascii="Arial Narrow" w:eastAsia="Times New Roman" w:hAnsi="Arial Narrow" w:cs="Times New Roman"/>
          <w:noProof w:val="0"/>
          <w:color w:val="363636"/>
          <w:kern w:val="36"/>
          <w:sz w:val="33"/>
          <w:szCs w:val="33"/>
          <w:u w:val="single"/>
          <w:lang w:eastAsia="tr-TR"/>
        </w:rPr>
        <w:t xml:space="preserve"> </w:t>
      </w:r>
      <w:proofErr w:type="spellStart"/>
      <w:r w:rsidRPr="00DC3554">
        <w:rPr>
          <w:rFonts w:ascii="Arial Narrow" w:eastAsia="Times New Roman" w:hAnsi="Arial Narrow" w:cs="Times New Roman"/>
          <w:noProof w:val="0"/>
          <w:color w:val="363636"/>
          <w:kern w:val="36"/>
          <w:sz w:val="33"/>
          <w:szCs w:val="33"/>
          <w:u w:val="single"/>
          <w:lang w:eastAsia="tr-TR"/>
        </w:rPr>
        <w:t>Milk</w:t>
      </w:r>
      <w:proofErr w:type="spellEnd"/>
      <w:r w:rsidRPr="00DC3554">
        <w:rPr>
          <w:rFonts w:ascii="Arial Narrow" w:eastAsia="Times New Roman" w:hAnsi="Arial Narrow" w:cs="Times New Roman"/>
          <w:noProof w:val="0"/>
          <w:color w:val="363636"/>
          <w:kern w:val="36"/>
          <w:sz w:val="33"/>
          <w:szCs w:val="33"/>
          <w:u w:val="single"/>
          <w:lang w:eastAsia="tr-TR"/>
        </w:rPr>
        <w:t xml:space="preserve"> </w:t>
      </w:r>
      <w:proofErr w:type="spellStart"/>
      <w:r w:rsidRPr="00DC3554">
        <w:rPr>
          <w:rFonts w:ascii="Arial Narrow" w:eastAsia="Times New Roman" w:hAnsi="Arial Narrow" w:cs="Times New Roman"/>
          <w:noProof w:val="0"/>
          <w:color w:val="363636"/>
          <w:kern w:val="36"/>
          <w:sz w:val="33"/>
          <w:szCs w:val="33"/>
          <w:u w:val="single"/>
          <w:lang w:eastAsia="tr-TR"/>
        </w:rPr>
        <w:t>Quality</w:t>
      </w:r>
      <w:proofErr w:type="spellEnd"/>
      <w:r w:rsidRPr="00DC3554">
        <w:rPr>
          <w:rFonts w:ascii="Arial Narrow" w:eastAsia="Times New Roman" w:hAnsi="Arial Narrow" w:cs="Times New Roman"/>
          <w:noProof w:val="0"/>
          <w:color w:val="363636"/>
          <w:kern w:val="36"/>
          <w:sz w:val="33"/>
          <w:szCs w:val="33"/>
          <w:u w:val="single"/>
          <w:lang w:eastAsia="tr-TR"/>
        </w:rPr>
        <w:t xml:space="preserve"> - SCC (</w:t>
      </w:r>
      <w:proofErr w:type="spellStart"/>
      <w:r w:rsidRPr="00DC3554">
        <w:rPr>
          <w:rFonts w:ascii="Arial Narrow" w:eastAsia="Times New Roman" w:hAnsi="Arial Narrow" w:cs="Times New Roman"/>
          <w:noProof w:val="0"/>
          <w:color w:val="363636"/>
          <w:kern w:val="36"/>
          <w:sz w:val="33"/>
          <w:szCs w:val="33"/>
          <w:u w:val="single"/>
          <w:lang w:eastAsia="tr-TR"/>
        </w:rPr>
        <w:t>Somatic</w:t>
      </w:r>
      <w:proofErr w:type="spellEnd"/>
      <w:r w:rsidRPr="00DC3554">
        <w:rPr>
          <w:rFonts w:ascii="Arial Narrow" w:eastAsia="Times New Roman" w:hAnsi="Arial Narrow" w:cs="Times New Roman"/>
          <w:noProof w:val="0"/>
          <w:color w:val="363636"/>
          <w:kern w:val="36"/>
          <w:sz w:val="33"/>
          <w:szCs w:val="33"/>
          <w:u w:val="single"/>
          <w:lang w:eastAsia="tr-TR"/>
        </w:rPr>
        <w:t xml:space="preserve"> Cell </w:t>
      </w:r>
      <w:proofErr w:type="spellStart"/>
      <w:r w:rsidRPr="00DC3554">
        <w:rPr>
          <w:rFonts w:ascii="Arial Narrow" w:eastAsia="Times New Roman" w:hAnsi="Arial Narrow" w:cs="Times New Roman"/>
          <w:noProof w:val="0"/>
          <w:color w:val="363636"/>
          <w:kern w:val="36"/>
          <w:sz w:val="33"/>
          <w:szCs w:val="33"/>
          <w:u w:val="single"/>
          <w:lang w:eastAsia="tr-TR"/>
        </w:rPr>
        <w:t>Count</w:t>
      </w:r>
      <w:proofErr w:type="spellEnd"/>
      <w:r w:rsidRPr="00DC3554">
        <w:rPr>
          <w:rFonts w:ascii="Arial Narrow" w:eastAsia="Times New Roman" w:hAnsi="Arial Narrow" w:cs="Times New Roman"/>
          <w:noProof w:val="0"/>
          <w:color w:val="363636"/>
          <w:kern w:val="36"/>
          <w:sz w:val="33"/>
          <w:szCs w:val="33"/>
          <w:u w:val="single"/>
          <w:lang w:eastAsia="tr-TR"/>
        </w:rPr>
        <w:t>)</w:t>
      </w:r>
      <w:r w:rsidRPr="00DC3554">
        <w:rPr>
          <w:rFonts w:ascii="Arial Narrow" w:eastAsia="Times New Roman" w:hAnsi="Arial Narrow" w:cs="Times New Roman"/>
          <w:noProof w:val="0"/>
          <w:kern w:val="36"/>
          <w:sz w:val="33"/>
          <w:szCs w:val="33"/>
          <w:lang w:eastAsia="tr-TR"/>
        </w:rPr>
        <w:fldChar w:fldCharType="end"/>
      </w:r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>Somatic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 xml:space="preserve"> Cell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>Counts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 xml:space="preserve"> in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>Milk</w:t>
      </w:r>
      <w:proofErr w:type="spellEnd"/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br/>
      </w:r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somatic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cell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count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(SCC) is a main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indicator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quality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proofErr w:type="gram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majority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somatic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cells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leukocytes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(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white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blood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cells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–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become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present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in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increasing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numbers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in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usually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as an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immune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response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mastitis-causing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pathogen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–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small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number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epithelial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cells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(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producing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cells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from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inside of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udder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as 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result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infection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  <w:proofErr w:type="gramEnd"/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SCC is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quantified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as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number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cells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per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ml</w:t>
      </w: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of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general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terms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:</w:t>
      </w:r>
    </w:p>
    <w:p w:rsidR="00DC3554" w:rsidRPr="00DC3554" w:rsidRDefault="00DC3554" w:rsidP="00DC3554">
      <w:pPr>
        <w:shd w:val="clear" w:color="auto" w:fill="FFFFFF"/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·</w:t>
      </w:r>
      <w:r w:rsidRPr="00DC3554">
        <w:rPr>
          <w:rFonts w:ascii="Arial" w:eastAsia="Times New Roman" w:hAnsi="Arial" w:cs="Arial"/>
          <w:noProof w:val="0"/>
          <w:color w:val="333333"/>
          <w:sz w:val="14"/>
          <w:szCs w:val="14"/>
          <w:lang w:eastAsia="tr-TR"/>
        </w:rPr>
        <w:t>      </w:t>
      </w:r>
    </w:p>
    <w:p w:rsidR="00DC3554" w:rsidRPr="00DC3554" w:rsidRDefault="00DC3554" w:rsidP="00DC3554">
      <w:pPr>
        <w:shd w:val="clear" w:color="auto" w:fill="FFFFFF"/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sz w:val="14"/>
          <w:szCs w:val="14"/>
          <w:lang w:eastAsia="tr-TR"/>
        </w:rPr>
        <w:t>   </w:t>
      </w: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An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individual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SCC of </w:t>
      </w:r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100,000</w:t>
      </w: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less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indicates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an </w:t>
      </w:r>
      <w:proofErr w:type="spellStart"/>
      <w:r w:rsidRPr="00DC3554">
        <w:rPr>
          <w:rFonts w:ascii="Arial" w:eastAsia="Times New Roman" w:hAnsi="Arial" w:cs="Arial"/>
          <w:b/>
          <w:bCs/>
          <w:i/>
          <w:iCs/>
          <w:noProof w:val="0"/>
          <w:color w:val="333333"/>
          <w:sz w:val="17"/>
          <w:szCs w:val="17"/>
          <w:lang w:eastAsia="tr-TR"/>
        </w:rPr>
        <w:t>uninfected</w:t>
      </w:r>
      <w:proofErr w:type="spellEnd"/>
      <w:r w:rsidRPr="00DC3554">
        <w:rPr>
          <w:rFonts w:ascii="Arial" w:eastAsia="Times New Roman" w:hAnsi="Arial" w:cs="Arial"/>
          <w:b/>
          <w:bCs/>
          <w:i/>
          <w:i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i/>
          <w:iCs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where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significant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production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losses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due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subclinical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mastitis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DC3554" w:rsidRPr="00DC3554" w:rsidRDefault="00DC3554" w:rsidP="00DC3554">
      <w:pPr>
        <w:shd w:val="clear" w:color="auto" w:fill="FFFFFF"/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br/>
      </w:r>
    </w:p>
    <w:p w:rsidR="00DC3554" w:rsidRPr="00DC3554" w:rsidRDefault="00DC3554" w:rsidP="00DC3554">
      <w:pPr>
        <w:shd w:val="clear" w:color="auto" w:fill="FFFFFF"/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·</w:t>
      </w:r>
      <w:r w:rsidRPr="00DC3554">
        <w:rPr>
          <w:rFonts w:ascii="Arial" w:eastAsia="Times New Roman" w:hAnsi="Arial" w:cs="Arial"/>
          <w:noProof w:val="0"/>
          <w:color w:val="333333"/>
          <w:sz w:val="14"/>
          <w:szCs w:val="14"/>
          <w:lang w:eastAsia="tr-TR"/>
        </w:rPr>
        <w:t>         </w:t>
      </w: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threshold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SCC of </w:t>
      </w:r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200,000</w:t>
      </w: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would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determine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whether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infected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with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mastitis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 </w:t>
      </w:r>
    </w:p>
    <w:p w:rsidR="00DC3554" w:rsidRPr="00DC3554" w:rsidRDefault="00DC3554" w:rsidP="00DC3554">
      <w:pPr>
        <w:shd w:val="clear" w:color="auto" w:fill="FFFFFF"/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br/>
      </w:r>
    </w:p>
    <w:p w:rsidR="00DC3554" w:rsidRPr="00DC3554" w:rsidRDefault="00DC3554" w:rsidP="00DC3554">
      <w:pPr>
        <w:shd w:val="clear" w:color="auto" w:fill="FFFFFF"/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with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an SCC of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greater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than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200,000</w:t>
      </w: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highly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likely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be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infected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in at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least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one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quarter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DC3554" w:rsidRPr="00DC3554" w:rsidRDefault="00DC3554" w:rsidP="00DC3554">
      <w:pPr>
        <w:shd w:val="clear" w:color="auto" w:fill="FFFFFF"/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·</w:t>
      </w:r>
      <w:r w:rsidRPr="00DC3554">
        <w:rPr>
          <w:rFonts w:ascii="Arial" w:eastAsia="Times New Roman" w:hAnsi="Arial" w:cs="Arial"/>
          <w:noProof w:val="0"/>
          <w:color w:val="333333"/>
          <w:sz w:val="14"/>
          <w:szCs w:val="14"/>
          <w:lang w:eastAsia="tr-TR"/>
        </w:rPr>
        <w:t>        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infected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with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significant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pathogens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have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an SCC of </w:t>
      </w:r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300,000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or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greater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SCC in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increases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calving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when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colostrum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produced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before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settles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tends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rise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towards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end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most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likely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due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lower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volumes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being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concentrating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effect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come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play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SCCs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vary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due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many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factors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including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seasonal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management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effects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Dairy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farmers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financially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rewarded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having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low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SCCs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penalised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high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ones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 </w:t>
      </w:r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br/>
      </w:r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with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value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400,000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above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deemed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be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unfit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human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consumption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br/>
      </w:r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particularly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low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SCC is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sometimes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regarded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as 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sign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of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poor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immune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response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, but in general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terms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this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need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not be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necessarily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true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; it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may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be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case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that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there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 </w:t>
      </w:r>
      <w:r w:rsidRPr="00DC3554">
        <w:rPr>
          <w:rFonts w:ascii="Arial" w:eastAsia="Times New Roman" w:hAnsi="Arial" w:cs="Arial"/>
          <w:b/>
          <w:bCs/>
          <w:noProof w:val="0"/>
          <w:color w:val="333333"/>
          <w:lang w:eastAsia="tr-TR"/>
        </w:rPr>
        <w:t>is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simply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low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level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of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current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infection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.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Immune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response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is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best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measured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by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how </w:t>
      </w:r>
      <w:proofErr w:type="spellStart"/>
      <w:r w:rsidRPr="00DC3554">
        <w:rPr>
          <w:rFonts w:ascii="Arial" w:eastAsia="Times New Roman" w:hAnsi="Arial" w:cs="Arial"/>
          <w:i/>
          <w:iCs/>
          <w:noProof w:val="0"/>
          <w:color w:val="333333"/>
          <w:lang w:eastAsia="tr-TR"/>
        </w:rPr>
        <w:t>quickly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immune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system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reacts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disease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challenge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, not how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many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white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blood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cells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are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present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before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infection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occurs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.</w:t>
      </w:r>
    </w:p>
    <w:p w:rsidR="00DC3554" w:rsidRPr="00DC3554" w:rsidRDefault="00DC3554" w:rsidP="00DC3554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gram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Cell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counts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tend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reflect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response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lang w:eastAsia="tr-TR"/>
        </w:rPr>
        <w:t>contagious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mastitis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pathogens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: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b/>
          <w:bCs/>
          <w:i/>
          <w:iCs/>
          <w:noProof w:val="0"/>
          <w:color w:val="333333"/>
          <w:lang w:eastAsia="tr-TR"/>
        </w:rPr>
        <w:t>Bactoscan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count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, on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other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hand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,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indicates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level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of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bacterial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contamination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from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lastRenderedPageBreak/>
        <w:t>external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sources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,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such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as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insufficient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cleaning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of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the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milking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equipment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or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poor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udder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and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teat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preparation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prior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to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milking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,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and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can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indicate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a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high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level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 xml:space="preserve"> of </w:t>
      </w:r>
      <w:proofErr w:type="spellStart"/>
      <w:r w:rsidRPr="00DC3554">
        <w:rPr>
          <w:rFonts w:ascii="Arial" w:eastAsia="Times New Roman" w:hAnsi="Arial" w:cs="Arial"/>
          <w:b/>
          <w:bCs/>
          <w:noProof w:val="0"/>
          <w:color w:val="333333"/>
          <w:lang w:eastAsia="tr-TR"/>
        </w:rPr>
        <w:t>environmental</w:t>
      </w:r>
      <w:proofErr w:type="spellEnd"/>
      <w:r w:rsidRPr="00DC3554">
        <w:rPr>
          <w:rFonts w:ascii="Arial" w:eastAsia="Times New Roman" w:hAnsi="Arial" w:cs="Arial"/>
          <w:b/>
          <w:bCs/>
          <w:noProof w:val="0"/>
          <w:color w:val="333333"/>
          <w:lang w:eastAsia="tr-TR"/>
        </w:rPr>
        <w:t> </w:t>
      </w:r>
      <w:proofErr w:type="spellStart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pathogens</w:t>
      </w:r>
      <w:proofErr w:type="spellEnd"/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t>.</w:t>
      </w:r>
      <w:proofErr w:type="gramEnd"/>
      <w:r w:rsidRPr="00DC3554"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  <w:br/>
      </w:r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br/>
      </w:r>
    </w:p>
    <w:p w:rsidR="00DC3554" w:rsidRPr="00DC3554" w:rsidRDefault="00DC3554" w:rsidP="00DC3554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Verdana" w:eastAsia="Times New Roman" w:hAnsi="Verdana" w:cs="Times New Roman"/>
          <w:color w:val="999999"/>
          <w:sz w:val="17"/>
          <w:szCs w:val="17"/>
          <w:lang w:eastAsia="tr-TR"/>
        </w:rPr>
        <w:drawing>
          <wp:inline distT="0" distB="0" distL="0" distR="0">
            <wp:extent cx="3810000" cy="2638425"/>
            <wp:effectExtent l="0" t="0" r="0" b="9525"/>
            <wp:docPr id="1" name="Resim 1" descr="http://4.bp.blogspot.com/-OOOTlX837P8/VXBiZQ2cxhI/AAAAAAAAJk0/P79sSroIn-Q/s400/somatic%2Bcell%2Bcoun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OOOTlX837P8/VXBiZQ2cxhI/AAAAAAAAJk0/P79sSroIn-Q/s400/somatic%2Bcell%2Bcoun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554" w:rsidRPr="00DC3554" w:rsidRDefault="00DC3554" w:rsidP="00DC3554">
      <w:pPr>
        <w:shd w:val="clear" w:color="auto" w:fill="FFFFFF"/>
        <w:spacing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DC3554">
        <w:rPr>
          <w:rFonts w:ascii="Arial" w:eastAsia="Times New Roman" w:hAnsi="Arial" w:cs="Arial"/>
          <w:noProof w:val="0"/>
          <w:color w:val="333333"/>
          <w:lang w:eastAsia="tr-TR"/>
        </w:rPr>
        <w:br/>
      </w:r>
    </w:p>
    <w:p w:rsidR="00D239C4" w:rsidRDefault="00D239C4">
      <w:bookmarkStart w:id="0" w:name="_GoBack"/>
      <w:bookmarkEnd w:id="0"/>
    </w:p>
    <w:sectPr w:rsidR="00D2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81"/>
    <w:rsid w:val="003F1781"/>
    <w:rsid w:val="00D239C4"/>
    <w:rsid w:val="00DC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9F0A2-6EF7-4A55-AF2F-9BD956CF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"/>
    <w:qFormat/>
    <w:rsid w:val="00DC3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355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C3554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DC3554"/>
  </w:style>
  <w:style w:type="character" w:styleId="Gl">
    <w:name w:val="Strong"/>
    <w:basedOn w:val="VarsaylanParagrafYazTipi"/>
    <w:uiPriority w:val="22"/>
    <w:qFormat/>
    <w:rsid w:val="00DC3554"/>
    <w:rPr>
      <w:b/>
      <w:bCs/>
    </w:rPr>
  </w:style>
  <w:style w:type="character" w:styleId="Vurgu">
    <w:name w:val="Emphasis"/>
    <w:basedOn w:val="VarsaylanParagrafYazTipi"/>
    <w:uiPriority w:val="20"/>
    <w:qFormat/>
    <w:rsid w:val="00DC3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4.bp.blogspot.com/-OOOTlX837P8/VXBiZQ2cxhI/AAAAAAAAJk0/P79sSroIn-Q/s1600/somatic%2Bcell%2Bcount.jp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Halit</cp:lastModifiedBy>
  <cp:revision>2</cp:revision>
  <dcterms:created xsi:type="dcterms:W3CDTF">2020-01-06T09:24:00Z</dcterms:created>
  <dcterms:modified xsi:type="dcterms:W3CDTF">2020-01-06T09:24:00Z</dcterms:modified>
</cp:coreProperties>
</file>