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840BA7" w:rsidP="005A1618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BA7">
              <w:rPr>
                <w:rFonts w:asciiTheme="minorHAnsi" w:hAnsiTheme="minorHAnsi" w:cstheme="minorHAnsi"/>
                <w:b/>
                <w:bCs/>
                <w:sz w:val="24"/>
              </w:rPr>
              <w:t>BIO471 BIOFUELS</w:t>
            </w:r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025C55" w:rsidRPr="00840BA7" w:rsidRDefault="00840BA7" w:rsidP="00025C55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840BA7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4"/>
                <w:lang w:val="en-US"/>
              </w:rPr>
              <w:t xml:space="preserve"> .0 ECTS: 5.0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025C5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Selective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renewable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biodiesel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bioethanol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biobutanol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methane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biohydrogen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fuel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cell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40BA7" w:rsidRDefault="00E10EE6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br/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give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comprehensive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information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about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feedstocks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production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methods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potential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application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areas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.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examine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terms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environment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economy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sustainability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clean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addition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advantages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fossil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fuels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.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Improve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ability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students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’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thinking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evaluation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5A1618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2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Re</w:t>
            </w:r>
            <w:r w:rsidR="00840BA7" w:rsidRPr="00840BA7">
              <w:rPr>
                <w:rFonts w:asciiTheme="minorHAnsi" w:hAnsiTheme="minorHAnsi" w:cstheme="minorHAnsi"/>
                <w:sz w:val="24"/>
                <w:lang w:val="en-US"/>
              </w:rPr>
              <w:t xml:space="preserve">commended </w:t>
            </w: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Science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Algal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Fuels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Richard Gordon, Joseph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Seckbach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Spinger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, 2012</w:t>
            </w:r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Biocatalysis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Bioenergy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Ching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T.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Jei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-Fu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Shaw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2008, John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Wiley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&amp;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Sons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Ltd.</w:t>
            </w:r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Engineering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Process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Technology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Caye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Drapcho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Nghiem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Phu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Nhuan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Terry H.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Walker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, 2008</w:t>
            </w:r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Wim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Soetaert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Erick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J.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Vandamme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2009, John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Wiley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&amp;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Sons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Ltd.</w:t>
            </w:r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Gasoline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Diesel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Ethanol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from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Grasses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Plants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Ram B.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Gupta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Ayhan Demirbaş, 2011, Cambridge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University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Press</w:t>
            </w:r>
            <w:proofErr w:type="spellEnd"/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Introduction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Biofuels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David M.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Mousdale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2010, Taylor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Francis</w:t>
            </w:r>
          </w:p>
          <w:p w:rsidR="00840BA7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Environment,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Rajesh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arora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, CAB International, 2012</w:t>
            </w:r>
          </w:p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Sustainable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Om V. Singh, Steven P.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Harvey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2010,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hours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</w:tbl>
    <w:p w:rsidR="00EB0AE2" w:rsidRPr="00785A14" w:rsidRDefault="00840BA7" w:rsidP="00840BA7">
      <w:pPr>
        <w:rPr>
          <w:lang w:val="en-US"/>
        </w:rPr>
      </w:pPr>
      <w:bookmarkStart w:id="0" w:name="_GoBack"/>
      <w:bookmarkEnd w:id="0"/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375FFB"/>
    <w:rsid w:val="00487585"/>
    <w:rsid w:val="005A1618"/>
    <w:rsid w:val="00785A14"/>
    <w:rsid w:val="007D7566"/>
    <w:rsid w:val="00832BE3"/>
    <w:rsid w:val="00840BA7"/>
    <w:rsid w:val="00991CCE"/>
    <w:rsid w:val="009B4C3B"/>
    <w:rsid w:val="009D5BF7"/>
    <w:rsid w:val="009E273E"/>
    <w:rsid w:val="00A54026"/>
    <w:rsid w:val="00AD5C4E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CE4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3</cp:revision>
  <dcterms:created xsi:type="dcterms:W3CDTF">2020-01-19T11:13:00Z</dcterms:created>
  <dcterms:modified xsi:type="dcterms:W3CDTF">2020-01-19T11:52:00Z</dcterms:modified>
</cp:coreProperties>
</file>