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840BA7" w:rsidP="00801CF7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BA7">
              <w:rPr>
                <w:rFonts w:asciiTheme="minorHAnsi" w:hAnsiTheme="minorHAnsi" w:cstheme="minorHAnsi"/>
                <w:b/>
                <w:bCs/>
                <w:sz w:val="24"/>
              </w:rPr>
              <w:t>BIO</w:t>
            </w:r>
            <w:r w:rsidR="00801CF7">
              <w:rPr>
                <w:rFonts w:asciiTheme="minorHAnsi" w:hAnsiTheme="minorHAnsi" w:cstheme="minorHAnsi"/>
                <w:b/>
                <w:bCs/>
                <w:sz w:val="24"/>
              </w:rPr>
              <w:t>26</w:t>
            </w:r>
            <w:r w:rsidR="00692420">
              <w:rPr>
                <w:rFonts w:asciiTheme="minorHAnsi" w:hAnsiTheme="minorHAnsi" w:cstheme="minorHAnsi"/>
                <w:b/>
                <w:bCs/>
                <w:sz w:val="24"/>
              </w:rPr>
              <w:t>0 GENERAL MICROBIOLOGY</w:t>
            </w:r>
            <w:r w:rsidR="00801CF7">
              <w:rPr>
                <w:rFonts w:asciiTheme="minorHAnsi" w:hAnsiTheme="minorHAnsi" w:cstheme="minorHAnsi"/>
                <w:b/>
                <w:bCs/>
                <w:sz w:val="24"/>
              </w:rPr>
              <w:t xml:space="preserve"> LAB.</w:t>
            </w:r>
            <w:bookmarkStart w:id="0" w:name="_GoBack"/>
            <w:bookmarkEnd w:id="0"/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025C55" w:rsidRPr="00840BA7" w:rsidRDefault="00840BA7" w:rsidP="00025C55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801CF7" w:rsidP="00692420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1.0 ECTS: 2</w:t>
            </w:r>
            <w:r w:rsidR="00840BA7">
              <w:rPr>
                <w:rFonts w:asciiTheme="minorHAnsi" w:hAnsiTheme="minorHAnsi" w:cstheme="minorHAnsi"/>
                <w:sz w:val="24"/>
                <w:lang w:val="en-US"/>
              </w:rPr>
              <w:t>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692420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692420">
              <w:rPr>
                <w:rFonts w:asciiTheme="minorHAnsi" w:hAnsiTheme="minorHAnsi" w:cstheme="minorHAnsi"/>
                <w:sz w:val="24"/>
                <w:lang w:val="en-US"/>
              </w:rPr>
              <w:t>Compulsory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840BA7" w:rsidRDefault="00801CF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Biochemical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tests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carbohydrate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fermentation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TSI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agar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test,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enzyme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activities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: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catalase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amylase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gelatinase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protease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urease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),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Antibiotic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susceptibility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test (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Antibiogram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>), (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Disc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diffusion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MIC test, E-test),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biological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methods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diagnosis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Bacteriophage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count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Motion test, IMVIC test,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Nitrogen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cycle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Hemolysis-Coagulase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Enzyme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induction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Conjugation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>, AMES-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prototroph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>-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oxotroph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mutants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40BA7" w:rsidRDefault="00801CF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proofErr w:type="gramStart"/>
            <w:r w:rsidRPr="00801CF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improve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pracitice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abilities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students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gained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on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first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semester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by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applying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more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wide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microbiologic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methods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such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as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biochemical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tests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used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determination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physiolocial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characters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antibiotic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susceptibility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tests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phage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abd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host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interactions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biological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anlyses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toxonomic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identification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coliform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identification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some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virulance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factors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nitrogen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cycle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enzyme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induction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horizontal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gene transfer,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obtaining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mutant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01CF7">
              <w:rPr>
                <w:rFonts w:asciiTheme="minorHAnsi" w:hAnsiTheme="minorHAnsi" w:cstheme="minorHAnsi"/>
                <w:sz w:val="24"/>
              </w:rPr>
              <w:t>strains</w:t>
            </w:r>
            <w:proofErr w:type="spellEnd"/>
            <w:r w:rsidRPr="00801CF7">
              <w:rPr>
                <w:rFonts w:asciiTheme="minorHAnsi" w:hAnsiTheme="minorHAnsi" w:cstheme="minorHAnsi"/>
                <w:sz w:val="24"/>
              </w:rPr>
              <w:t>.</w:t>
            </w:r>
            <w:proofErr w:type="gram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5A1618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2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Re</w:t>
            </w:r>
            <w:r w:rsidR="00840BA7" w:rsidRPr="00840BA7">
              <w:rPr>
                <w:rFonts w:asciiTheme="minorHAnsi" w:hAnsiTheme="minorHAnsi" w:cstheme="minorHAnsi"/>
                <w:sz w:val="24"/>
                <w:lang w:val="en-US"/>
              </w:rPr>
              <w:t xml:space="preserve">commended </w:t>
            </w: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692420" w:rsidRPr="00692420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1)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Brock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Microorganisms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Ma</w:t>
            </w:r>
            <w:r w:rsidR="005921F7">
              <w:rPr>
                <w:rFonts w:asciiTheme="minorHAnsi" w:hAnsiTheme="minorHAnsi" w:cstheme="minorHAnsi"/>
                <w:sz w:val="24"/>
              </w:rPr>
              <w:t>digan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Martinko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Parker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>, 2018</w:t>
            </w:r>
            <w:r w:rsidRPr="00692420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5921F7">
              <w:rPr>
                <w:rFonts w:asciiTheme="minorHAnsi" w:hAnsiTheme="minorHAnsi" w:cstheme="minorHAnsi"/>
                <w:sz w:val="24"/>
              </w:rPr>
              <w:t xml:space="preserve">15th Edition.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Prentice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Hall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.</w:t>
            </w:r>
          </w:p>
          <w:p w:rsidR="00692420" w:rsidRPr="00692420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2)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Shlegel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H.D. (1994) General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. Cambridge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University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Press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.</w:t>
            </w:r>
          </w:p>
          <w:p w:rsidR="00840BA7" w:rsidRPr="00840BA7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3)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Prescott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, L. M</w:t>
            </w:r>
            <w:proofErr w:type="gramStart"/>
            <w:r w:rsidRPr="00692420">
              <w:rPr>
                <w:rFonts w:asciiTheme="minorHAnsi" w:hAnsiTheme="minorHAnsi" w:cstheme="minorHAnsi"/>
                <w:sz w:val="24"/>
              </w:rPr>
              <w:t>.,</w:t>
            </w:r>
            <w:proofErr w:type="gram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Harley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J. P.,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Klein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D. A. (1996)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Wm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. C. Brown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Publishers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England</w:t>
            </w:r>
            <w:r w:rsidR="00840BA7" w:rsidRPr="00840BA7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Environment,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Rajesh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arora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>, CAB International, 2012</w:t>
            </w:r>
          </w:p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Sustainable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Om V. Singh, Steven P.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Harvey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2010,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hours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</w:tbl>
    <w:p w:rsidR="00EB0AE2" w:rsidRPr="00785A14" w:rsidRDefault="00801CF7" w:rsidP="00840BA7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375FFB"/>
    <w:rsid w:val="00487585"/>
    <w:rsid w:val="005921F7"/>
    <w:rsid w:val="005A1618"/>
    <w:rsid w:val="00692420"/>
    <w:rsid w:val="00785A14"/>
    <w:rsid w:val="007D7566"/>
    <w:rsid w:val="00801CF7"/>
    <w:rsid w:val="00832BE3"/>
    <w:rsid w:val="00840BA7"/>
    <w:rsid w:val="00991CCE"/>
    <w:rsid w:val="009B4C3B"/>
    <w:rsid w:val="009D5BF7"/>
    <w:rsid w:val="009E273E"/>
    <w:rsid w:val="00A54026"/>
    <w:rsid w:val="00AD5C4E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19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7</cp:revision>
  <dcterms:created xsi:type="dcterms:W3CDTF">2020-01-19T11:13:00Z</dcterms:created>
  <dcterms:modified xsi:type="dcterms:W3CDTF">2020-01-19T17:30:00Z</dcterms:modified>
</cp:coreProperties>
</file>