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C6ECE" w:rsidRDefault="007C6ECE" w:rsidP="007C6E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C6ECE">
              <w:rPr>
                <w:b/>
                <w:bCs/>
                <w:sz w:val="16"/>
                <w:szCs w:val="16"/>
              </w:rPr>
              <w:t>VET404 Ayak Hastalıkları ve Nal Tekniği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.Ali</w:t>
            </w:r>
            <w:proofErr w:type="gramEnd"/>
            <w:r>
              <w:rPr>
                <w:szCs w:val="16"/>
              </w:rPr>
              <w:t xml:space="preserve"> BUMİN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C6ECE" w:rsidP="007C6ECE">
            <w:pPr>
              <w:pStyle w:val="DersBilgileri"/>
              <w:rPr>
                <w:szCs w:val="16"/>
              </w:rPr>
            </w:pPr>
            <w:r w:rsidRPr="007C6ECE">
              <w:rPr>
                <w:szCs w:val="16"/>
              </w:rPr>
              <w:t xml:space="preserve">Ders “Ayak hastalıkları ve nal tekniği” başlığı altında; at ortopedisi, sığır ortopedisi, at ayak hastalıkları ve sığır ayak hastalıkları bölümlerinden oluşmaktadır. At ortopedisi konu başlıkları Ayağın anatomisi, tırnak (uzaması, aşınması, </w:t>
            </w:r>
            <w:proofErr w:type="spellStart"/>
            <w:r w:rsidRPr="007C6ECE">
              <w:rPr>
                <w:szCs w:val="16"/>
              </w:rPr>
              <w:t>mihanikiyeti</w:t>
            </w:r>
            <w:proofErr w:type="spellEnd"/>
            <w:r w:rsidRPr="007C6ECE">
              <w:rPr>
                <w:szCs w:val="16"/>
              </w:rPr>
              <w:t xml:space="preserve">, özellikleri, muayenesi, bakımı), nal bilgisi (özellikleri, aşınması, kayar ve nal çeşitleri), bacak duruşları, ayak duruşları ve bunlara göre nal uygulamaları, kusurlu yürüyüşler, ortopedik nallar. Sığır ortopedisi konu başlıkları Ayağın anatomisi, tırnağın özellikleri (uzaması, </w:t>
            </w:r>
            <w:proofErr w:type="spellStart"/>
            <w:r w:rsidRPr="007C6ECE">
              <w:rPr>
                <w:szCs w:val="16"/>
              </w:rPr>
              <w:t>mihanikiyeti</w:t>
            </w:r>
            <w:proofErr w:type="spellEnd"/>
            <w:r w:rsidRPr="007C6ECE">
              <w:rPr>
                <w:szCs w:val="16"/>
              </w:rPr>
              <w:t xml:space="preserve">, muayenesi), bozuk tırnak şekilleri, tırnak bakımı, tırnak banyoları, bacak duruşları, ayağa pansuman uygulamaları ve tırnağa ortopedik </w:t>
            </w:r>
            <w:proofErr w:type="spellStart"/>
            <w:r w:rsidRPr="007C6ECE">
              <w:rPr>
                <w:szCs w:val="16"/>
              </w:rPr>
              <w:t>ölçem</w:t>
            </w:r>
            <w:proofErr w:type="spellEnd"/>
            <w:r w:rsidRPr="007C6ECE">
              <w:rPr>
                <w:szCs w:val="16"/>
              </w:rPr>
              <w:t xml:space="preserve"> uygulamaları. At ayak hastalıkları konu başlıkları Korona bölgesinin yaraları, koroner flegmon, </w:t>
            </w:r>
            <w:proofErr w:type="spellStart"/>
            <w:r w:rsidRPr="007C6ECE">
              <w:rPr>
                <w:szCs w:val="16"/>
              </w:rPr>
              <w:t>podoartritis</w:t>
            </w:r>
            <w:proofErr w:type="spellEnd"/>
            <w:r w:rsidRPr="007C6ECE">
              <w:rPr>
                <w:szCs w:val="16"/>
              </w:rPr>
              <w:t xml:space="preserve">, </w:t>
            </w:r>
            <w:proofErr w:type="spellStart"/>
            <w:r w:rsidRPr="007C6ECE">
              <w:rPr>
                <w:szCs w:val="16"/>
              </w:rPr>
              <w:t>podotrochlitis</w:t>
            </w:r>
            <w:proofErr w:type="spellEnd"/>
            <w:r w:rsidRPr="007C6ECE">
              <w:rPr>
                <w:szCs w:val="16"/>
              </w:rPr>
              <w:t xml:space="preserve">, arpalama, </w:t>
            </w:r>
            <w:proofErr w:type="spellStart"/>
            <w:r w:rsidRPr="007C6ECE">
              <w:rPr>
                <w:szCs w:val="16"/>
              </w:rPr>
              <w:t>pododermatitis</w:t>
            </w:r>
            <w:proofErr w:type="spellEnd"/>
            <w:r w:rsidRPr="007C6ECE">
              <w:rPr>
                <w:szCs w:val="16"/>
              </w:rPr>
              <w:t xml:space="preserve"> </w:t>
            </w:r>
            <w:proofErr w:type="spellStart"/>
            <w:r w:rsidRPr="007C6ECE">
              <w:rPr>
                <w:szCs w:val="16"/>
              </w:rPr>
              <w:t>purulenta</w:t>
            </w:r>
            <w:proofErr w:type="spellEnd"/>
            <w:r w:rsidRPr="007C6ECE">
              <w:rPr>
                <w:szCs w:val="16"/>
              </w:rPr>
              <w:t xml:space="preserve">, mıh batması, mıh sıkması, mıh değmesi, tırnak çatlağı, ökçe darlığı, ökçe eziği, çatal çürüğü, </w:t>
            </w:r>
            <w:proofErr w:type="spellStart"/>
            <w:r w:rsidRPr="007C6ECE">
              <w:rPr>
                <w:szCs w:val="16"/>
              </w:rPr>
              <w:t>cartilago</w:t>
            </w:r>
            <w:proofErr w:type="spellEnd"/>
            <w:r w:rsidRPr="007C6ECE">
              <w:rPr>
                <w:szCs w:val="16"/>
              </w:rPr>
              <w:t xml:space="preserve"> </w:t>
            </w:r>
            <w:proofErr w:type="spellStart"/>
            <w:r w:rsidRPr="007C6ECE">
              <w:rPr>
                <w:szCs w:val="16"/>
              </w:rPr>
              <w:t>ungulea</w:t>
            </w:r>
            <w:proofErr w:type="spellEnd"/>
            <w:r w:rsidRPr="007C6ECE">
              <w:rPr>
                <w:szCs w:val="16"/>
              </w:rPr>
              <w:t xml:space="preserve"> nekrozu. Sığır ayak hastalıkları konu başlıkları </w:t>
            </w:r>
            <w:proofErr w:type="spellStart"/>
            <w:r w:rsidRPr="007C6ECE">
              <w:rPr>
                <w:szCs w:val="16"/>
              </w:rPr>
              <w:t>Pododermatitisler</w:t>
            </w:r>
            <w:proofErr w:type="spellEnd"/>
            <w:r w:rsidRPr="007C6ECE">
              <w:rPr>
                <w:szCs w:val="16"/>
              </w:rPr>
              <w:t xml:space="preserve">, </w:t>
            </w:r>
            <w:proofErr w:type="spellStart"/>
            <w:r w:rsidRPr="007C6ECE">
              <w:rPr>
                <w:szCs w:val="16"/>
              </w:rPr>
              <w:t>rusterholz</w:t>
            </w:r>
            <w:proofErr w:type="spellEnd"/>
            <w:r w:rsidRPr="007C6ECE">
              <w:rPr>
                <w:szCs w:val="16"/>
              </w:rPr>
              <w:t xml:space="preserve"> </w:t>
            </w:r>
            <w:proofErr w:type="gramStart"/>
            <w:r w:rsidRPr="007C6ECE">
              <w:rPr>
                <w:szCs w:val="16"/>
              </w:rPr>
              <w:t>sendromu</w:t>
            </w:r>
            <w:proofErr w:type="gramEnd"/>
            <w:r w:rsidRPr="007C6ECE">
              <w:rPr>
                <w:szCs w:val="16"/>
              </w:rPr>
              <w:t xml:space="preserve">, irinli ve fistüllü yan duvar </w:t>
            </w:r>
            <w:proofErr w:type="spellStart"/>
            <w:r w:rsidRPr="007C6ECE">
              <w:rPr>
                <w:szCs w:val="16"/>
              </w:rPr>
              <w:t>ulkusu</w:t>
            </w:r>
            <w:proofErr w:type="spellEnd"/>
            <w:r w:rsidRPr="007C6ECE">
              <w:rPr>
                <w:szCs w:val="16"/>
              </w:rPr>
              <w:t xml:space="preserve">, ayak eklemi ve ayak kemiği hastalıkları, ökçe çürüğü, </w:t>
            </w:r>
            <w:proofErr w:type="spellStart"/>
            <w:r w:rsidRPr="007C6ECE">
              <w:rPr>
                <w:szCs w:val="16"/>
              </w:rPr>
              <w:t>panaritium</w:t>
            </w:r>
            <w:proofErr w:type="spellEnd"/>
            <w:r w:rsidRPr="007C6ECE">
              <w:rPr>
                <w:szCs w:val="16"/>
              </w:rPr>
              <w:t xml:space="preserve">, </w:t>
            </w:r>
            <w:proofErr w:type="spellStart"/>
            <w:r w:rsidRPr="007C6ECE">
              <w:rPr>
                <w:szCs w:val="16"/>
              </w:rPr>
              <w:t>limax</w:t>
            </w:r>
            <w:proofErr w:type="spellEnd"/>
            <w:r w:rsidRPr="007C6ECE">
              <w:rPr>
                <w:szCs w:val="16"/>
              </w:rPr>
              <w:t xml:space="preserve">, </w:t>
            </w:r>
            <w:proofErr w:type="spellStart"/>
            <w:r w:rsidRPr="007C6ECE">
              <w:rPr>
                <w:szCs w:val="16"/>
              </w:rPr>
              <w:t>piyeten</w:t>
            </w:r>
            <w:proofErr w:type="spellEnd"/>
            <w:r w:rsidRPr="007C6ECE">
              <w:rPr>
                <w:szCs w:val="16"/>
              </w:rPr>
              <w:t xml:space="preserve"> ve tüylüce.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t>Hayvan türlerine göre ayak hastalıkları ve bu hastalıkların sağaltımında uygulanan bilimsel ve teorik bilgilerin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3"/>
              <w:gridCol w:w="1545"/>
            </w:tblGrid>
            <w:tr w:rsidR="007C6ECE" w:rsidRPr="007C6ECE" w:rsidTr="007C6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sz w:val="16"/>
                      <w:szCs w:val="16"/>
                    </w:rPr>
                  </w:pPr>
                  <w:r w:rsidRPr="007C6ECE">
                    <w:rPr>
                      <w:sz w:val="16"/>
                      <w:szCs w:val="16"/>
                    </w:rPr>
                    <w:t xml:space="preserve">Olcay B, Sağlam M (1996). </w:t>
                  </w:r>
                  <w:proofErr w:type="gramStart"/>
                  <w:r w:rsidRPr="007C6ECE">
                    <w:rPr>
                      <w:sz w:val="16"/>
                      <w:szCs w:val="16"/>
                    </w:rPr>
                    <w:t xml:space="preserve">Büyük Hayvanların Ayak Hastalıkları ve Ortopedisi. </w:t>
                  </w:r>
                  <w:proofErr w:type="gramEnd"/>
                  <w:r w:rsidRPr="007C6ECE">
                    <w:rPr>
                      <w:sz w:val="16"/>
                      <w:szCs w:val="16"/>
                    </w:rPr>
                    <w:t xml:space="preserve">Ankara Üniversitesi Veteriner Fakültesi Ders Notları, Ankara, IX+115.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C6ECE" w:rsidRPr="007C6ECE" w:rsidTr="007C6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7C6ECE">
                    <w:rPr>
                      <w:sz w:val="16"/>
                      <w:szCs w:val="16"/>
                    </w:rPr>
                    <w:t>Ross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MW,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Dyson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SJ (2003).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Diagnosis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Management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Lamenes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the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Horse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Elseiver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Science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St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. Louis.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C6ECE" w:rsidRPr="007C6ECE" w:rsidTr="007C6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7C6ECE">
                    <w:rPr>
                      <w:sz w:val="16"/>
                      <w:szCs w:val="16"/>
                    </w:rPr>
                    <w:t>Ruben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JR,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David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RH (2007). Klinik Pratikte At Hekimliği. Çeviri Editörleri: Arda SANCAK ve Mehmet SAĞLAM,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Medipres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, Malatya.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C6ECE" w:rsidRPr="007C6ECE" w:rsidTr="007C6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7C6ECE">
                    <w:rPr>
                      <w:sz w:val="16"/>
                      <w:szCs w:val="16"/>
                    </w:rPr>
                    <w:t>Stashak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TS (1987). Adams’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Lameness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Horses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Lea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>&amp;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Febiger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Philadelphia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C6ECE" w:rsidRPr="007C6ECE" w:rsidTr="007C6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7C6ECE">
                    <w:rPr>
                      <w:sz w:val="16"/>
                      <w:szCs w:val="16"/>
                    </w:rPr>
                    <w:t>Villemin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M (1969).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Les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affections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des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doigts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chez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les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bovins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C6ECE">
                    <w:rPr>
                      <w:sz w:val="16"/>
                      <w:szCs w:val="16"/>
                    </w:rPr>
                    <w:t>Vigot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Frere Ed</w:t>
                  </w:r>
                  <w:proofErr w:type="gramStart"/>
                  <w:r w:rsidRPr="007C6ECE">
                    <w:rPr>
                      <w:sz w:val="16"/>
                      <w:szCs w:val="16"/>
                    </w:rPr>
                    <w:t>.,</w:t>
                  </w:r>
                  <w:proofErr w:type="gramEnd"/>
                  <w:r w:rsidRPr="007C6ECE">
                    <w:rPr>
                      <w:sz w:val="16"/>
                      <w:szCs w:val="16"/>
                    </w:rPr>
                    <w:t xml:space="preserve"> Paris.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C6ECE" w:rsidRPr="007C6ECE" w:rsidTr="007C6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sz w:val="16"/>
                      <w:szCs w:val="16"/>
                    </w:rPr>
                  </w:pPr>
                  <w:r w:rsidRPr="007C6ECE">
                    <w:rPr>
                      <w:sz w:val="16"/>
                      <w:szCs w:val="16"/>
                    </w:rPr>
                    <w:t xml:space="preserve">Yücel R (1992). </w:t>
                  </w:r>
                  <w:proofErr w:type="gramStart"/>
                  <w:r w:rsidRPr="007C6ECE">
                    <w:rPr>
                      <w:sz w:val="16"/>
                      <w:szCs w:val="16"/>
                    </w:rPr>
                    <w:t xml:space="preserve">Veteriner Özel Cerrahi. </w:t>
                  </w:r>
                  <w:proofErr w:type="spellStart"/>
                  <w:proofErr w:type="gramEnd"/>
                  <w:r w:rsidRPr="007C6ECE">
                    <w:rPr>
                      <w:sz w:val="16"/>
                      <w:szCs w:val="16"/>
                    </w:rPr>
                    <w:t>Pethask</w:t>
                  </w:r>
                  <w:proofErr w:type="spellEnd"/>
                  <w:r w:rsidRPr="007C6ECE">
                    <w:rPr>
                      <w:sz w:val="16"/>
                      <w:szCs w:val="16"/>
                    </w:rPr>
                    <w:t xml:space="preserve"> Veteriner Hekimliği Yayınları. Gebze-Kocaeli.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ECE" w:rsidRPr="007C6ECE" w:rsidRDefault="007C6ECE" w:rsidP="007C6ECE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C6E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7C6ECE"/>
    <w:sectPr w:rsidR="00EB0AE2" w:rsidSect="00EB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7C6ECE"/>
    <w:rsid w:val="00832BE3"/>
    <w:rsid w:val="00BC32DD"/>
    <w:rsid w:val="00EB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Mehmet</cp:lastModifiedBy>
  <cp:revision>3</cp:revision>
  <dcterms:created xsi:type="dcterms:W3CDTF">2017-02-03T08:50:00Z</dcterms:created>
  <dcterms:modified xsi:type="dcterms:W3CDTF">2020-01-31T08:24:00Z</dcterms:modified>
</cp:coreProperties>
</file>