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8A" w:rsidRPr="001A2552" w:rsidRDefault="00E9118A" w:rsidP="00E9118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9118A" w:rsidRPr="001A2552" w:rsidRDefault="00E9118A" w:rsidP="00E9118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9118A" w:rsidRDefault="00E9118A" w:rsidP="00E9118A">
      <w:pPr>
        <w:pStyle w:val="Basliklar"/>
        <w:jc w:val="center"/>
        <w:rPr>
          <w:sz w:val="16"/>
          <w:szCs w:val="16"/>
        </w:rPr>
      </w:pPr>
    </w:p>
    <w:p w:rsidR="00E9118A" w:rsidRPr="001A2552" w:rsidRDefault="00E9118A" w:rsidP="00E9118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9118A" w:rsidRPr="001A2552" w:rsidRDefault="00E9118A" w:rsidP="00E9118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9118A" w:rsidRPr="00226E4F" w:rsidRDefault="003B0F51" w:rsidP="003B0F51">
            <w:pPr>
              <w:spacing w:after="200" w:line="276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TL 3072 </w:t>
            </w: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Azerbaycan Hanlıkları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226E4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26E4F">
              <w:rPr>
                <w:rFonts w:ascii="Times New Roman" w:hAnsi="Times New Roman"/>
                <w:sz w:val="24"/>
              </w:rPr>
              <w:t>Nesibli</w:t>
            </w:r>
            <w:proofErr w:type="spellEnd"/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9118A" w:rsidRPr="00226E4F" w:rsidRDefault="003B0F51" w:rsidP="003B0F5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Teorik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9118A" w:rsidRPr="003B0F51" w:rsidRDefault="003B0F51" w:rsidP="003B0F51">
            <w:pPr>
              <w:pStyle w:val="DersBilgileri"/>
              <w:spacing w:before="0" w:after="0"/>
              <w:ind w:left="142" w:right="142"/>
              <w:rPr>
                <w:rFonts w:ascii="Times New Roman" w:eastAsia="Calibri" w:hAnsi="Times New Roman"/>
                <w:sz w:val="24"/>
              </w:rPr>
            </w:pPr>
            <w:r w:rsidRPr="003B0F51">
              <w:rPr>
                <w:rFonts w:ascii="Times New Roman" w:eastAsia="Calibri" w:hAnsi="Times New Roman"/>
                <w:sz w:val="24"/>
              </w:rPr>
              <w:t>“Azerbaycan Tarihi”  ve “Hanlıklar Dönemi’nin tanımı;</w:t>
            </w:r>
          </w:p>
          <w:p w:rsidR="003B0F51" w:rsidRPr="003B0F51" w:rsidRDefault="003B0F51" w:rsidP="003B0F51">
            <w:pPr>
              <w:pStyle w:val="DersBilgileri"/>
              <w:spacing w:before="0" w:after="0"/>
              <w:ind w:left="142" w:right="142"/>
              <w:rPr>
                <w:rFonts w:ascii="Times New Roman" w:hAnsi="Times New Roman"/>
                <w:sz w:val="24"/>
              </w:rPr>
            </w:pPr>
            <w:r w:rsidRPr="003B0F51">
              <w:rPr>
                <w:rFonts w:ascii="Times New Roman" w:eastAsia="Calibri" w:hAnsi="Times New Roman"/>
                <w:sz w:val="24"/>
              </w:rPr>
              <w:t>Nadir Şah Avşar İmparatorluğu</w:t>
            </w:r>
            <w:r w:rsidRPr="003B0F51">
              <w:rPr>
                <w:rFonts w:ascii="Times New Roman" w:eastAsia="Calibri" w:hAnsi="Times New Roman"/>
                <w:sz w:val="24"/>
                <w:lang w:val="az-Latn-AZ"/>
              </w:rPr>
              <w:t>’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</w:rPr>
              <w:t>nun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ç</w:t>
            </w:r>
            <w:r w:rsidRPr="003B0F51">
              <w:rPr>
                <w:rFonts w:ascii="Times New Roman" w:eastAsia="Calibri" w:hAnsi="Times New Roman"/>
                <w:sz w:val="24"/>
              </w:rPr>
              <w:t>öküşü</w:t>
            </w:r>
            <w:r>
              <w:rPr>
                <w:rFonts w:ascii="Times New Roman" w:eastAsia="Calibri" w:hAnsi="Times New Roman"/>
                <w:sz w:val="24"/>
              </w:rPr>
              <w:t>;</w:t>
            </w:r>
            <w:r w:rsidRPr="003B0F51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 xml:space="preserve">Azerbaycan coğrafyasında yaranan hanlıklar; Hanlıkların idari şekli; Rus-İran savaşları ve sonuçları; </w:t>
            </w:r>
            <w:bookmarkStart w:id="0" w:name="_GoBack"/>
            <w:r>
              <w:rPr>
                <w:rFonts w:ascii="Times New Roman" w:eastAsia="Calibri" w:hAnsi="Times New Roman"/>
                <w:sz w:val="24"/>
              </w:rPr>
              <w:t xml:space="preserve">Azerbaycan’ın </w:t>
            </w:r>
            <w:bookmarkEnd w:id="0"/>
            <w:r>
              <w:rPr>
                <w:rFonts w:ascii="Times New Roman" w:eastAsia="Calibri" w:hAnsi="Times New Roman"/>
                <w:sz w:val="24"/>
              </w:rPr>
              <w:t>bölünmesi.</w:t>
            </w:r>
            <w:r w:rsidRPr="003B0F51">
              <w:rPr>
                <w:rFonts w:ascii="Times New Roman" w:eastAsia="Calibri" w:hAnsi="Times New Roman"/>
                <w:sz w:val="24"/>
              </w:rPr>
              <w:t xml:space="preserve">                    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9118A" w:rsidRPr="00226E4F" w:rsidRDefault="003B0F51" w:rsidP="003B0F51">
            <w:pPr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 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Azerbaycan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tarihinde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gram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18..</w:t>
            </w:r>
            <w:proofErr w:type="gram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yüzyılın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ikinci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yarısı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– 19.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yüzyılın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birinci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çeyregi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büyük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öneme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haiz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bir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devirdir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.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İşte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bu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zaman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Azerbaycan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devletciligi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unsurları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ortaya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çıktı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.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Fakat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bu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devir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aynı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zamanda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Azerbaycan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’</w:t>
            </w:r>
            <w:r w:rsidRPr="003B0F51">
              <w:rPr>
                <w:rFonts w:ascii="Times New Roman" w:hAnsi="Times New Roman"/>
                <w:color w:val="000000" w:themeColor="text1"/>
                <w:sz w:val="24"/>
                <w:lang w:val="az-Latn-AZ" w:eastAsia="ru-RU"/>
              </w:rPr>
              <w:t xml:space="preserve">ın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bölündüğü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tarihtir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.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Dersin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amacı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öğrenciyi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bu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hassas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konular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hakkında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bilgilendirmektir</w:t>
            </w:r>
            <w:proofErr w:type="spellEnd"/>
            <w:r w:rsidRPr="003B0F5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.</w:t>
            </w:r>
            <w:r w:rsidRPr="00226E4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Haftada 2 saat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Nesib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Nesibli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Azerbaycan Tarihi. Millet, Devlet ve Siyaset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, Ankara: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Altunordu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, 2019;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S</w:t>
            </w:r>
            <w:r w:rsidRPr="003B0F51">
              <w:rPr>
                <w:rFonts w:ascii="Times New Roman" w:eastAsia="Calibri" w:hAnsi="Times New Roman"/>
                <w:sz w:val="24"/>
                <w:lang w:val="az-Latn-AZ" w:eastAsia="en-US"/>
              </w:rPr>
              <w:t>ü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leyman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Əliyarlı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(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red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.),</w:t>
            </w: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Azərbaycan</w:t>
            </w:r>
            <w:proofErr w:type="spellEnd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tarixi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, Bakı:”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Azərbaycan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”, 1996;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Zeki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Velidi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Togan, “Azerbaycan”, </w:t>
            </w: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İslam Ansiklopedisi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, 2. Cilt, İstanbul, 1961; 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Yeni Türkiye; Orta Doğu Özel Sayısı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– IV, 2016;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Avrasya Dosyası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. İran Özel, cilt 5, sayı 3, Sonbahar 1999;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Lynn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Quitman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Troyka, </w:t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Quick</w:t>
            </w:r>
            <w:proofErr w:type="spellEnd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Access. Reference </w:t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for</w:t>
            </w:r>
            <w:proofErr w:type="spellEnd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</w:t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Writers</w:t>
            </w:r>
            <w:proofErr w:type="spellEnd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New Jersey: </w:t>
            </w: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Prentice</w:t>
            </w:r>
            <w:proofErr w:type="spellEnd"/>
          </w:p>
          <w:p w:rsidR="003B0F51" w:rsidRPr="003B0F51" w:rsidRDefault="003B0F51" w:rsidP="003B0F51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Hall</w:t>
            </w:r>
            <w:proofErr w:type="spellEnd"/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, 1997.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proofErr w:type="spellStart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Wikipedia</w:t>
            </w:r>
            <w:proofErr w:type="spellEnd"/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 xml:space="preserve"> uygun makaleler.</w:t>
            </w:r>
          </w:p>
          <w:p w:rsidR="003B0F51" w:rsidRPr="003B0F51" w:rsidRDefault="003B0F51" w:rsidP="003B0F51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ab/>
            </w:r>
            <w:r w:rsidRPr="003B0F51">
              <w:rPr>
                <w:rFonts w:ascii="Times New Roman" w:eastAsia="Calibri" w:hAnsi="Times New Roman"/>
                <w:i/>
                <w:sz w:val="24"/>
                <w:lang w:eastAsia="en-US"/>
              </w:rPr>
              <w:t>Youtube</w:t>
            </w:r>
            <w:r w:rsidRPr="003B0F51">
              <w:rPr>
                <w:rFonts w:ascii="Times New Roman" w:eastAsia="Calibri" w:hAnsi="Times New Roman"/>
                <w:sz w:val="24"/>
                <w:lang w:eastAsia="en-US"/>
              </w:rPr>
              <w:t>’dan değişik videolar.</w:t>
            </w:r>
          </w:p>
          <w:p w:rsidR="00E9118A" w:rsidRPr="00226E4F" w:rsidRDefault="00E9118A" w:rsidP="0032173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226E4F">
              <w:rPr>
                <w:rFonts w:ascii="Times New Roman" w:hAnsi="Times New Roman"/>
                <w:sz w:val="24"/>
              </w:rPr>
              <w:t>3</w:t>
            </w: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E9118A" w:rsidRPr="001A2552" w:rsidTr="00321731">
        <w:trPr>
          <w:jc w:val="center"/>
        </w:trPr>
        <w:tc>
          <w:tcPr>
            <w:tcW w:w="2745" w:type="dxa"/>
            <w:vAlign w:val="center"/>
          </w:tcPr>
          <w:p w:rsidR="00E9118A" w:rsidRPr="001A2552" w:rsidRDefault="00E9118A" w:rsidP="0032173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9118A" w:rsidRPr="00226E4F" w:rsidRDefault="00E9118A" w:rsidP="00321731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E9118A" w:rsidRPr="001A2552" w:rsidRDefault="00E9118A" w:rsidP="00E9118A">
      <w:pPr>
        <w:rPr>
          <w:sz w:val="16"/>
          <w:szCs w:val="16"/>
        </w:rPr>
      </w:pPr>
    </w:p>
    <w:p w:rsidR="00E9118A" w:rsidRPr="001A2552" w:rsidRDefault="00E9118A" w:rsidP="00E9118A">
      <w:pPr>
        <w:rPr>
          <w:sz w:val="16"/>
          <w:szCs w:val="16"/>
        </w:rPr>
      </w:pPr>
    </w:p>
    <w:p w:rsidR="00E9118A" w:rsidRPr="001A2552" w:rsidRDefault="00E9118A" w:rsidP="00E9118A">
      <w:pPr>
        <w:rPr>
          <w:sz w:val="16"/>
          <w:szCs w:val="16"/>
        </w:rPr>
      </w:pPr>
    </w:p>
    <w:p w:rsidR="00E9118A" w:rsidRDefault="00E9118A" w:rsidP="00E9118A"/>
    <w:p w:rsidR="00E9118A" w:rsidRDefault="00E9118A" w:rsidP="00E9118A"/>
    <w:p w:rsidR="004F0D62" w:rsidRDefault="003B0F51"/>
    <w:sectPr w:rsidR="004F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406"/>
    <w:multiLevelType w:val="hybridMultilevel"/>
    <w:tmpl w:val="8D1846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8C6"/>
    <w:multiLevelType w:val="hybridMultilevel"/>
    <w:tmpl w:val="9990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8A"/>
    <w:rsid w:val="003B0F51"/>
    <w:rsid w:val="00A96C64"/>
    <w:rsid w:val="00E9118A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A3E1"/>
  <w15:chartTrackingRefBased/>
  <w15:docId w15:val="{C340FEF8-90EB-4DA3-BC27-B44B882C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18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9118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9118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9118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9118A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9118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2020-02-02T12:35:00Z</dcterms:created>
  <dcterms:modified xsi:type="dcterms:W3CDTF">2020-02-02T12:42:00Z</dcterms:modified>
</cp:coreProperties>
</file>