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4E53" w14:textId="77777777" w:rsidR="00030417" w:rsidRPr="00B90DCD" w:rsidRDefault="00030417" w:rsidP="00030417">
      <w:pPr>
        <w:jc w:val="center"/>
        <w:rPr>
          <w:b/>
          <w:bCs/>
          <w:sz w:val="28"/>
          <w:szCs w:val="24"/>
        </w:rPr>
      </w:pPr>
      <w:bookmarkStart w:id="0" w:name="_GoBack"/>
      <w:bookmarkEnd w:id="0"/>
      <w:r w:rsidRPr="00B90DCD">
        <w:rPr>
          <w:b/>
          <w:bCs/>
          <w:sz w:val="28"/>
          <w:szCs w:val="24"/>
        </w:rPr>
        <w:t>Dinleyici Saygınlaştırma Kuralı-</w:t>
      </w:r>
      <w:r>
        <w:rPr>
          <w:b/>
          <w:bCs/>
          <w:sz w:val="28"/>
          <w:szCs w:val="24"/>
        </w:rPr>
        <w:t xml:space="preserve"> 1</w:t>
      </w:r>
      <w:r w:rsidRPr="00B90DCD">
        <w:rPr>
          <w:b/>
          <w:bCs/>
          <w:sz w:val="28"/>
          <w:szCs w:val="24"/>
        </w:rPr>
        <w:t xml:space="preserve"> (</w:t>
      </w:r>
      <w:r w:rsidRPr="00B90DCD">
        <w:rPr>
          <w:rFonts w:ascii="Batang" w:hAnsi="Batang" w:cs="Batang" w:hint="eastAsia"/>
          <w:b/>
          <w:bCs/>
          <w:sz w:val="28"/>
          <w:szCs w:val="24"/>
        </w:rPr>
        <w:t>청자</w:t>
      </w:r>
      <w:r w:rsidRPr="00B90DCD">
        <w:rPr>
          <w:b/>
          <w:bCs/>
          <w:sz w:val="28"/>
          <w:szCs w:val="24"/>
        </w:rPr>
        <w:t xml:space="preserve"> </w:t>
      </w:r>
      <w:r w:rsidRPr="00B90DCD">
        <w:rPr>
          <w:rFonts w:ascii="Batang" w:hAnsi="Batang" w:cs="Batang" w:hint="eastAsia"/>
          <w:b/>
          <w:bCs/>
          <w:sz w:val="28"/>
          <w:szCs w:val="24"/>
        </w:rPr>
        <w:t>대우법</w:t>
      </w:r>
      <w:r w:rsidRPr="00B90DCD">
        <w:rPr>
          <w:b/>
          <w:bCs/>
          <w:sz w:val="28"/>
          <w:szCs w:val="24"/>
        </w:rPr>
        <w:t>)</w:t>
      </w:r>
    </w:p>
    <w:p w14:paraId="4214A204" w14:textId="77777777" w:rsidR="00030417" w:rsidRPr="00B90DCD" w:rsidRDefault="00030417" w:rsidP="00030417">
      <w:pPr>
        <w:jc w:val="center"/>
        <w:rPr>
          <w:b/>
          <w:bCs/>
          <w:sz w:val="28"/>
          <w:szCs w:val="24"/>
        </w:rPr>
      </w:pPr>
      <w:r w:rsidRPr="00B90DCD">
        <w:rPr>
          <w:b/>
          <w:bCs/>
          <w:sz w:val="28"/>
          <w:szCs w:val="24"/>
        </w:rPr>
        <w:t xml:space="preserve">1) </w:t>
      </w:r>
      <w:r w:rsidRPr="00B90DCD">
        <w:rPr>
          <w:rFonts w:ascii="Batang" w:hAnsi="Batang" w:cs="Batang" w:hint="eastAsia"/>
          <w:b/>
          <w:bCs/>
          <w:sz w:val="28"/>
          <w:szCs w:val="24"/>
        </w:rPr>
        <w:t>합니다</w:t>
      </w:r>
      <w:r w:rsidRPr="00B90DCD">
        <w:rPr>
          <w:b/>
          <w:bCs/>
          <w:sz w:val="28"/>
          <w:szCs w:val="24"/>
        </w:rPr>
        <w:t xml:space="preserve"> Yapısı (Belirteçler, İlgi Tümceleri)</w:t>
      </w:r>
    </w:p>
    <w:p w14:paraId="164485A2" w14:textId="58D03051" w:rsidR="00030417" w:rsidRPr="00030417" w:rsidRDefault="00030417" w:rsidP="00030417">
      <w:pPr>
        <w:jc w:val="center"/>
        <w:rPr>
          <w:b/>
          <w:bCs/>
          <w:sz w:val="28"/>
          <w:szCs w:val="24"/>
        </w:rPr>
      </w:pPr>
      <w:r w:rsidRPr="00030417">
        <w:rPr>
          <w:b/>
          <w:bCs/>
          <w:sz w:val="28"/>
          <w:szCs w:val="24"/>
        </w:rPr>
        <w:t xml:space="preserve">2. </w:t>
      </w:r>
      <w:r w:rsidRPr="00030417">
        <w:rPr>
          <w:rFonts w:hint="eastAsia"/>
          <w:b/>
          <w:bCs/>
          <w:sz w:val="28"/>
          <w:szCs w:val="24"/>
        </w:rPr>
        <w:t>B</w:t>
      </w:r>
      <w:r w:rsidRPr="00030417">
        <w:rPr>
          <w:b/>
          <w:bCs/>
          <w:sz w:val="28"/>
          <w:szCs w:val="24"/>
        </w:rPr>
        <w:t>ÖLÜM</w:t>
      </w:r>
    </w:p>
    <w:p w14:paraId="4BCE9663" w14:textId="151E92E0" w:rsidR="00043292" w:rsidRDefault="00043292" w:rsidP="00043292">
      <w:pPr>
        <w:ind w:firstLine="708"/>
      </w:pPr>
      <w:r>
        <w:rPr>
          <w:rFonts w:hint="eastAsia"/>
        </w:rPr>
        <w:t xml:space="preserve">(2), (3), (4) ve (5)'deki örnekler, </w:t>
      </w:r>
      <w:r w:rsidR="00FC4407">
        <w:rPr>
          <w:rFonts w:hint="eastAsia"/>
        </w:rPr>
        <w:t>Korecede</w:t>
      </w:r>
      <w:r>
        <w:rPr>
          <w:rFonts w:hint="eastAsia"/>
        </w:rPr>
        <w:t xml:space="preserve">ki en saygılı konuşma düzeyini gösteren örneklerdir, (6), (7), (8) ve (9)'deki örnekler ise, konuşma düzeyinin en samimi şekli olan </w:t>
      </w:r>
      <w:r>
        <w:rPr>
          <w:rFonts w:hint="eastAsia"/>
        </w:rPr>
        <w:t>한다</w:t>
      </w:r>
      <w:r>
        <w:rPr>
          <w:rFonts w:hint="eastAsia"/>
        </w:rPr>
        <w:t xml:space="preserve">yapısı için verilen örneklerdir. </w:t>
      </w:r>
      <w:r>
        <w:rPr>
          <w:rFonts w:hint="eastAsia"/>
        </w:rPr>
        <w:t>한다</w:t>
      </w:r>
      <w:r>
        <w:rPr>
          <w:rFonts w:hint="eastAsia"/>
        </w:rPr>
        <w:t xml:space="preserve"> yapısı, </w:t>
      </w:r>
      <w:r w:rsidR="00FC4407">
        <w:rPr>
          <w:rFonts w:hint="eastAsia"/>
        </w:rPr>
        <w:t>Korecede</w:t>
      </w:r>
      <w:r>
        <w:rPr>
          <w:rFonts w:hint="eastAsia"/>
        </w:rPr>
        <w:t>ki konuşma düzeylerinin</w:t>
      </w:r>
      <w:r>
        <w:t xml:space="preserve"> en samimi yapısı olmakla birlikte yazı dilinde kullanılma özelliğine sahiptir.</w:t>
      </w:r>
    </w:p>
    <w:p w14:paraId="4F6C239D" w14:textId="77777777" w:rsidR="00043292" w:rsidRDefault="00043292" w:rsidP="00043292">
      <w:pPr>
        <w:ind w:firstLine="708"/>
      </w:pPr>
      <w:r>
        <w:rPr>
          <w:rFonts w:hint="eastAsia"/>
        </w:rPr>
        <w:t xml:space="preserve">Özellikle Koreceyi yeni öğrenen bir kişinin düzgün bir konuşma yapabilmesi için öncelikle </w:t>
      </w:r>
      <w:r>
        <w:rPr>
          <w:rFonts w:hint="eastAsia"/>
        </w:rPr>
        <w:t>합니다</w:t>
      </w:r>
      <w:r>
        <w:rPr>
          <w:rFonts w:hint="eastAsia"/>
        </w:rPr>
        <w:t xml:space="preserve"> yapısını öğrenmesi ve bu yapıyı öncelikli olarak kullanması gerekmektedir. </w:t>
      </w:r>
      <w:r>
        <w:rPr>
          <w:rFonts w:hint="eastAsia"/>
        </w:rPr>
        <w:t>한다</w:t>
      </w:r>
      <w:r>
        <w:rPr>
          <w:rFonts w:hint="eastAsia"/>
        </w:rPr>
        <w:t>yapısı ise genellikle yazı dilinde karşımıza çıkmaktadır.</w:t>
      </w:r>
    </w:p>
    <w:p w14:paraId="029F1B1A" w14:textId="77777777" w:rsidR="00043292" w:rsidRDefault="00043292" w:rsidP="00043292">
      <w:pPr>
        <w:ind w:firstLine="708"/>
      </w:pPr>
      <w:r>
        <w:rPr>
          <w:rFonts w:hint="eastAsia"/>
        </w:rPr>
        <w:t>합니다</w:t>
      </w:r>
      <w:r>
        <w:rPr>
          <w:rFonts w:hint="eastAsia"/>
        </w:rPr>
        <w:t xml:space="preserve"> yapısı, dinleyen kişinin konuşan kişiden sosyal statü bakımından daha yüksek olduğu durumlarda kullanılır. Yani, dinleyici konuşanın büyükbabası, büyükannesi, babası, annesi, öğretmeni, yöneticisi olması konumunda ya da konuşucudan yaşça büyüktür ve mevki bakımından daha üst bir konumdadır. Bunlara ek olarak, konuşucu ile dinleyici arasında </w:t>
      </w:r>
      <w:proofErr w:type="spellStart"/>
      <w:r>
        <w:rPr>
          <w:rFonts w:hint="eastAsia"/>
        </w:rPr>
        <w:t>samimileşecek</w:t>
      </w:r>
      <w:proofErr w:type="spellEnd"/>
      <w:r>
        <w:rPr>
          <w:rFonts w:hint="eastAsia"/>
        </w:rPr>
        <w:t xml:space="preserve"> kadar ileri boyutla bir ilişki bulunmamaktadır. </w:t>
      </w:r>
      <w:r>
        <w:rPr>
          <w:rFonts w:hint="eastAsia"/>
        </w:rPr>
        <w:t>한다</w:t>
      </w:r>
      <w:r>
        <w:rPr>
          <w:rFonts w:hint="eastAsia"/>
        </w:rPr>
        <w:t>yapısı ise, konuşanla dinleyen arasında herhangi bir sosyal konum ya da yaş farkının olmadığı durumla</w:t>
      </w:r>
      <w:r>
        <w:t>rda ya da yazı dilinde, konuşma dilindeki konuşucu-dinleyici bağlamı duyarlılığından bağımsız olarak yansız bir durumda kullanılır.</w:t>
      </w:r>
    </w:p>
    <w:p w14:paraId="2CDF587D" w14:textId="77777777" w:rsidR="00043292" w:rsidRDefault="00043292" w:rsidP="00043292">
      <w:pPr>
        <w:ind w:firstLine="708"/>
      </w:pPr>
      <w:r>
        <w:rPr>
          <w:rFonts w:hint="eastAsia"/>
        </w:rPr>
        <w:t>합니다</w:t>
      </w:r>
      <w:r>
        <w:rPr>
          <w:rFonts w:hint="eastAsia"/>
        </w:rPr>
        <w:t xml:space="preserve"> yapısının sonekleri -</w:t>
      </w:r>
      <w:r>
        <w:rPr>
          <w:rFonts w:hint="eastAsia"/>
        </w:rPr>
        <w:t>ㅂ니다</w:t>
      </w:r>
      <w:r>
        <w:rPr>
          <w:rFonts w:hint="eastAsia"/>
        </w:rPr>
        <w:t>ve -</w:t>
      </w:r>
      <w:r>
        <w:rPr>
          <w:rFonts w:hint="eastAsia"/>
        </w:rPr>
        <w:t>습니다</w:t>
      </w:r>
      <w:r>
        <w:rPr>
          <w:rFonts w:hint="eastAsia"/>
        </w:rPr>
        <w:t>`</w:t>
      </w:r>
      <w:proofErr w:type="spellStart"/>
      <w:r>
        <w:rPr>
          <w:rFonts w:hint="eastAsia"/>
        </w:rPr>
        <w:t>dır</w:t>
      </w:r>
      <w:proofErr w:type="spellEnd"/>
      <w:r>
        <w:rPr>
          <w:rFonts w:hint="eastAsia"/>
        </w:rPr>
        <w:t xml:space="preserve">. Eylem kökü eğer ünlü </w:t>
      </w:r>
      <w:proofErr w:type="spellStart"/>
      <w:r>
        <w:rPr>
          <w:rFonts w:hint="eastAsia"/>
        </w:rPr>
        <w:t>ilc</w:t>
      </w:r>
      <w:proofErr w:type="spellEnd"/>
      <w:r>
        <w:rPr>
          <w:rFonts w:hint="eastAsia"/>
        </w:rPr>
        <w:t xml:space="preserve"> bitiyorsa -</w:t>
      </w:r>
      <w:r>
        <w:rPr>
          <w:rFonts w:hint="eastAsia"/>
        </w:rPr>
        <w:t>ㅂ니다</w:t>
      </w:r>
      <w:r>
        <w:rPr>
          <w:rFonts w:hint="eastAsia"/>
        </w:rPr>
        <w:t xml:space="preserve"> - ünsüzle bitiyorsa da -</w:t>
      </w:r>
      <w:r>
        <w:rPr>
          <w:rFonts w:hint="eastAsia"/>
        </w:rPr>
        <w:t>습니다</w:t>
      </w:r>
      <w:r>
        <w:rPr>
          <w:rFonts w:hint="eastAsia"/>
        </w:rPr>
        <w:t xml:space="preserve"> kullanılır.</w:t>
      </w:r>
    </w:p>
    <w:p w14:paraId="0F52750E" w14:textId="77777777" w:rsidR="00043292" w:rsidRDefault="00043292" w:rsidP="00043292">
      <w:pPr>
        <w:ind w:firstLine="708"/>
      </w:pPr>
      <w:r>
        <w:rPr>
          <w:rFonts w:hint="eastAsia"/>
        </w:rPr>
        <w:lastRenderedPageBreak/>
        <w:t xml:space="preserve">Örneğin aşağıda verilen (11)'deki örneklerde </w:t>
      </w:r>
      <w:r>
        <w:rPr>
          <w:rFonts w:hint="eastAsia"/>
        </w:rPr>
        <w:t>가</w:t>
      </w:r>
      <w:r>
        <w:rPr>
          <w:rFonts w:hint="eastAsia"/>
        </w:rPr>
        <w:t xml:space="preserve">- ve </w:t>
      </w:r>
      <w:r>
        <w:rPr>
          <w:rFonts w:hint="eastAsia"/>
        </w:rPr>
        <w:t>예쁘</w:t>
      </w:r>
      <w:r>
        <w:rPr>
          <w:rFonts w:hint="eastAsia"/>
        </w:rPr>
        <w:t>- eylemleri ünlüyle bittiği için sözcüklere -</w:t>
      </w:r>
      <w:r>
        <w:rPr>
          <w:rFonts w:hint="eastAsia"/>
        </w:rPr>
        <w:t>ㅂ니다</w:t>
      </w:r>
      <w:r>
        <w:rPr>
          <w:rFonts w:hint="eastAsia"/>
        </w:rPr>
        <w:t xml:space="preserve"> soneki eklenmektedir. (12)'deki </w:t>
      </w:r>
      <w:r>
        <w:rPr>
          <w:rFonts w:hint="eastAsia"/>
        </w:rPr>
        <w:t>읽</w:t>
      </w:r>
      <w:r>
        <w:rPr>
          <w:rFonts w:hint="eastAsia"/>
        </w:rPr>
        <w:t xml:space="preserve">-, </w:t>
      </w:r>
      <w:r>
        <w:rPr>
          <w:rFonts w:hint="eastAsia"/>
        </w:rPr>
        <w:t>맑</w:t>
      </w:r>
      <w:r>
        <w:rPr>
          <w:rFonts w:hint="eastAsia"/>
        </w:rPr>
        <w:t>- eylemleri ise ünsüzle biten eylemler oldukları için  -</w:t>
      </w:r>
      <w:r>
        <w:rPr>
          <w:rFonts w:hint="eastAsia"/>
        </w:rPr>
        <w:t>습니다</w:t>
      </w:r>
      <w:r>
        <w:rPr>
          <w:rFonts w:hint="eastAsia"/>
        </w:rPr>
        <w:t xml:space="preserve"> kullanılmaktadır.</w:t>
      </w:r>
    </w:p>
    <w:p w14:paraId="696142B2" w14:textId="77777777" w:rsidR="00043292" w:rsidRDefault="00043292" w:rsidP="00043292">
      <w:pPr>
        <w:ind w:firstLine="708"/>
      </w:pPr>
      <w:r>
        <w:rPr>
          <w:rFonts w:hint="eastAsia"/>
        </w:rPr>
        <w:t>-</w:t>
      </w:r>
      <w:r>
        <w:rPr>
          <w:rFonts w:hint="eastAsia"/>
        </w:rPr>
        <w:t>ㅂ니다</w:t>
      </w:r>
      <w:r>
        <w:rPr>
          <w:rFonts w:hint="eastAsia"/>
        </w:rPr>
        <w:t xml:space="preserve"> ve -</w:t>
      </w:r>
      <w:r>
        <w:rPr>
          <w:rFonts w:hint="eastAsia"/>
        </w:rPr>
        <w:t>습니다</w:t>
      </w:r>
      <w:r>
        <w:rPr>
          <w:rFonts w:hint="eastAsia"/>
        </w:rPr>
        <w:t xml:space="preserve"> sonekleri tek yapı olarak yani </w:t>
      </w:r>
      <w:r>
        <w:rPr>
          <w:rFonts w:hint="eastAsia"/>
        </w:rPr>
        <w:t>–</w:t>
      </w:r>
      <w:r>
        <w:rPr>
          <w:rFonts w:hint="eastAsia"/>
        </w:rPr>
        <w:t>(</w:t>
      </w:r>
      <w:r>
        <w:rPr>
          <w:rFonts w:hint="eastAsia"/>
        </w:rPr>
        <w:t>스</w:t>
      </w:r>
      <w:r>
        <w:rPr>
          <w:rFonts w:hint="eastAsia"/>
        </w:rPr>
        <w:t>)</w:t>
      </w:r>
      <w:r>
        <w:rPr>
          <w:rFonts w:hint="eastAsia"/>
        </w:rPr>
        <w:t>ㅂ니다</w:t>
      </w:r>
      <w:r>
        <w:rPr>
          <w:rFonts w:hint="eastAsia"/>
        </w:rPr>
        <w:t xml:space="preserve"> olarak da ifade edilebilmektedirler. Burada parantez içinde yazılmış olan -</w:t>
      </w:r>
      <w:r>
        <w:rPr>
          <w:rFonts w:hint="eastAsia"/>
        </w:rPr>
        <w:t>스</w:t>
      </w:r>
      <w:r>
        <w:rPr>
          <w:rFonts w:hint="eastAsia"/>
        </w:rPr>
        <w:t>- eylemin ünsüz bir harfle bittiği durumlarda kullanılan -</w:t>
      </w:r>
      <w:r>
        <w:rPr>
          <w:rFonts w:hint="eastAsia"/>
        </w:rPr>
        <w:t>습니다</w:t>
      </w:r>
      <w:r>
        <w:rPr>
          <w:rFonts w:hint="eastAsia"/>
        </w:rPr>
        <w:t xml:space="preserve"> sonekini, diğeri de eylemin ünlüyle bittiği durumlarda kullanılan </w:t>
      </w:r>
      <w:r>
        <w:rPr>
          <w:rFonts w:hint="eastAsia"/>
        </w:rPr>
        <w:t>–</w:t>
      </w:r>
      <w:r>
        <w:rPr>
          <w:rFonts w:hint="eastAsia"/>
        </w:rPr>
        <w:t xml:space="preserve"> </w:t>
      </w:r>
      <w:r>
        <w:rPr>
          <w:rFonts w:hint="eastAsia"/>
        </w:rPr>
        <w:t>ㅂ니다</w:t>
      </w:r>
      <w:r>
        <w:rPr>
          <w:rFonts w:hint="eastAsia"/>
        </w:rPr>
        <w:t xml:space="preserve"> sonekini ifade etmektedir.</w:t>
      </w:r>
    </w:p>
    <w:p w14:paraId="220BC8CB" w14:textId="77777777" w:rsidR="00043292" w:rsidRDefault="00043292" w:rsidP="00043292"/>
    <w:p w14:paraId="3922D203" w14:textId="1292C589" w:rsidR="00043292" w:rsidRDefault="00043292" w:rsidP="00043292">
      <w:pPr>
        <w:pStyle w:val="ListeParagraf"/>
        <w:numPr>
          <w:ilvl w:val="0"/>
          <w:numId w:val="1"/>
        </w:numPr>
        <w:ind w:leftChars="0"/>
      </w:pPr>
      <w:r>
        <w:rPr>
          <w:rFonts w:hint="eastAsia"/>
        </w:rPr>
        <w:t>가다</w:t>
      </w:r>
      <w:r>
        <w:rPr>
          <w:rFonts w:hint="eastAsia"/>
        </w:rPr>
        <w:t xml:space="preserve"> </w:t>
      </w:r>
      <w:r w:rsidR="00A8315E">
        <w:rPr>
          <w:rFonts w:ascii="Arial" w:hAnsi="Arial" w:cs="Arial"/>
          <w:color w:val="3C4043"/>
          <w:sz w:val="21"/>
          <w:szCs w:val="21"/>
          <w:shd w:val="clear" w:color="auto" w:fill="FFFFFF"/>
        </w:rPr>
        <w:t>→</w:t>
      </w:r>
      <w:r>
        <w:rPr>
          <w:rFonts w:hint="eastAsia"/>
        </w:rPr>
        <w:t xml:space="preserve"> </w:t>
      </w:r>
      <w:r>
        <w:rPr>
          <w:rFonts w:hint="eastAsia"/>
        </w:rPr>
        <w:t>갑니다</w:t>
      </w:r>
      <w:r>
        <w:rPr>
          <w:rFonts w:hint="eastAsia"/>
        </w:rPr>
        <w:t xml:space="preserve">, </w:t>
      </w:r>
      <w:r>
        <w:rPr>
          <w:rFonts w:hint="eastAsia"/>
        </w:rPr>
        <w:t>예쁘다</w:t>
      </w:r>
      <w:r>
        <w:rPr>
          <w:rFonts w:hint="eastAsia"/>
        </w:rPr>
        <w:t xml:space="preserve"> </w:t>
      </w:r>
      <w:r w:rsidR="00A8315E">
        <w:rPr>
          <w:rFonts w:ascii="Arial" w:hAnsi="Arial" w:cs="Arial"/>
          <w:color w:val="3C4043"/>
          <w:sz w:val="21"/>
          <w:szCs w:val="21"/>
          <w:shd w:val="clear" w:color="auto" w:fill="FFFFFF"/>
        </w:rPr>
        <w:t>→</w:t>
      </w:r>
      <w:r>
        <w:rPr>
          <w:rFonts w:hint="eastAsia"/>
        </w:rPr>
        <w:t xml:space="preserve"> </w:t>
      </w:r>
      <w:r>
        <w:rPr>
          <w:rFonts w:hint="eastAsia"/>
        </w:rPr>
        <w:t>예쁩니다</w:t>
      </w:r>
      <w:r>
        <w:rPr>
          <w:rFonts w:hint="eastAsia"/>
        </w:rPr>
        <w:t>.</w:t>
      </w:r>
    </w:p>
    <w:p w14:paraId="07DF94C2" w14:textId="4178D1CE" w:rsidR="00043292" w:rsidRDefault="00043292" w:rsidP="00043292">
      <w:pPr>
        <w:pStyle w:val="ListeParagraf"/>
        <w:numPr>
          <w:ilvl w:val="0"/>
          <w:numId w:val="1"/>
        </w:numPr>
        <w:ind w:leftChars="0"/>
      </w:pPr>
      <w:r>
        <w:rPr>
          <w:rFonts w:hint="eastAsia"/>
        </w:rPr>
        <w:t>읽다</w:t>
      </w:r>
      <w:r>
        <w:rPr>
          <w:rFonts w:hint="eastAsia"/>
        </w:rPr>
        <w:t xml:space="preserve"> </w:t>
      </w:r>
      <w:r w:rsidR="00A8315E">
        <w:rPr>
          <w:rFonts w:ascii="Arial" w:hAnsi="Arial" w:cs="Arial"/>
          <w:color w:val="3C4043"/>
          <w:sz w:val="21"/>
          <w:szCs w:val="21"/>
          <w:shd w:val="clear" w:color="auto" w:fill="FFFFFF"/>
        </w:rPr>
        <w:t>→</w:t>
      </w:r>
      <w:r>
        <w:rPr>
          <w:rFonts w:hint="eastAsia"/>
        </w:rPr>
        <w:t xml:space="preserve"> </w:t>
      </w:r>
      <w:r>
        <w:rPr>
          <w:rFonts w:hint="eastAsia"/>
        </w:rPr>
        <w:t>읽습니다</w:t>
      </w:r>
      <w:r>
        <w:rPr>
          <w:rFonts w:hint="eastAsia"/>
        </w:rPr>
        <w:t xml:space="preserve">, </w:t>
      </w:r>
      <w:r>
        <w:rPr>
          <w:rFonts w:hint="eastAsia"/>
        </w:rPr>
        <w:t>맑다</w:t>
      </w:r>
      <w:r>
        <w:rPr>
          <w:rFonts w:hint="eastAsia"/>
        </w:rPr>
        <w:t xml:space="preserve"> </w:t>
      </w:r>
      <w:r w:rsidR="00A8315E">
        <w:rPr>
          <w:rFonts w:ascii="Arial" w:hAnsi="Arial" w:cs="Arial"/>
          <w:color w:val="3C4043"/>
          <w:sz w:val="21"/>
          <w:szCs w:val="21"/>
          <w:shd w:val="clear" w:color="auto" w:fill="FFFFFF"/>
        </w:rPr>
        <w:t>→</w:t>
      </w:r>
      <w:r>
        <w:rPr>
          <w:rFonts w:hint="eastAsia"/>
        </w:rPr>
        <w:t xml:space="preserve"> </w:t>
      </w:r>
      <w:r>
        <w:rPr>
          <w:rFonts w:hint="eastAsia"/>
        </w:rPr>
        <w:t>맑습니다</w:t>
      </w:r>
      <w:r>
        <w:rPr>
          <w:rFonts w:hint="eastAsia"/>
        </w:rPr>
        <w:t xml:space="preserve">. </w:t>
      </w:r>
    </w:p>
    <w:p w14:paraId="756374AD" w14:textId="77777777" w:rsidR="00043292" w:rsidRDefault="00043292" w:rsidP="00043292"/>
    <w:p w14:paraId="26742A57" w14:textId="03800ECE" w:rsidR="00966E2D" w:rsidRDefault="00043292" w:rsidP="00043292">
      <w:r>
        <w:rPr>
          <w:rFonts w:hint="eastAsia"/>
        </w:rPr>
        <w:t xml:space="preserve">SORU: Aşağıdaki eylemleri </w:t>
      </w:r>
      <w:r>
        <w:rPr>
          <w:rFonts w:hint="eastAsia"/>
        </w:rPr>
        <w:t>합니다</w:t>
      </w:r>
      <w:r>
        <w:rPr>
          <w:rFonts w:hint="eastAsia"/>
        </w:rPr>
        <w:t xml:space="preserve"> yapısıyla yazınız.</w:t>
      </w:r>
    </w:p>
    <w:p w14:paraId="62C4B559" w14:textId="2F6E003C" w:rsidR="00043292" w:rsidRDefault="00043292" w:rsidP="00043292"/>
    <w:tbl>
      <w:tblPr>
        <w:tblStyle w:val="TabloKlavuzu"/>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470"/>
        <w:gridCol w:w="2422"/>
      </w:tblGrid>
      <w:tr w:rsidR="00E77372" w14:paraId="3C0805B4" w14:textId="77777777" w:rsidTr="00030417">
        <w:tc>
          <w:tcPr>
            <w:tcW w:w="3097" w:type="dxa"/>
            <w:tcBorders>
              <w:bottom w:val="single" w:sz="4" w:space="0" w:color="auto"/>
            </w:tcBorders>
            <w:vAlign w:val="center"/>
          </w:tcPr>
          <w:p w14:paraId="4D2E7B5B" w14:textId="77777777" w:rsidR="00E77372" w:rsidRDefault="00E77372" w:rsidP="00E77372">
            <w:pPr>
              <w:jc w:val="center"/>
            </w:pPr>
            <w:r>
              <w:rPr>
                <w:rFonts w:hint="eastAsia"/>
              </w:rPr>
              <w:t>예쁘다</w:t>
            </w:r>
          </w:p>
        </w:tc>
        <w:tc>
          <w:tcPr>
            <w:tcW w:w="3098" w:type="dxa"/>
            <w:vAlign w:val="center"/>
          </w:tcPr>
          <w:p w14:paraId="0B3F1EB7" w14:textId="2B90F73C" w:rsidR="00E77372" w:rsidRDefault="00A8315E" w:rsidP="00E77372">
            <w:pPr>
              <w:jc w:val="center"/>
            </w:pPr>
            <w:r>
              <w:rPr>
                <w:rFonts w:ascii="Arial" w:hAnsi="Arial" w:cs="Arial"/>
                <w:color w:val="3C4043"/>
                <w:sz w:val="21"/>
                <w:szCs w:val="21"/>
                <w:shd w:val="clear" w:color="auto" w:fill="FFFFFF"/>
              </w:rPr>
              <w:t>→</w:t>
            </w:r>
          </w:p>
        </w:tc>
        <w:tc>
          <w:tcPr>
            <w:tcW w:w="3098" w:type="dxa"/>
            <w:tcBorders>
              <w:bottom w:val="single" w:sz="4" w:space="0" w:color="auto"/>
            </w:tcBorders>
            <w:vAlign w:val="center"/>
          </w:tcPr>
          <w:p w14:paraId="0F89FEFE" w14:textId="77777777" w:rsidR="00E77372" w:rsidRDefault="00E77372" w:rsidP="00E77372">
            <w:pPr>
              <w:jc w:val="center"/>
            </w:pPr>
          </w:p>
        </w:tc>
      </w:tr>
      <w:tr w:rsidR="00E77372" w14:paraId="10E31686" w14:textId="77777777" w:rsidTr="00030417">
        <w:tc>
          <w:tcPr>
            <w:tcW w:w="3097" w:type="dxa"/>
            <w:tcBorders>
              <w:top w:val="single" w:sz="4" w:space="0" w:color="auto"/>
              <w:bottom w:val="single" w:sz="4" w:space="0" w:color="auto"/>
            </w:tcBorders>
            <w:vAlign w:val="center"/>
          </w:tcPr>
          <w:p w14:paraId="1ACFA368" w14:textId="77777777" w:rsidR="00E77372" w:rsidRDefault="00E77372" w:rsidP="00E77372">
            <w:pPr>
              <w:jc w:val="center"/>
            </w:pPr>
            <w:r>
              <w:rPr>
                <w:rFonts w:hint="eastAsia"/>
              </w:rPr>
              <w:t>먹다</w:t>
            </w:r>
          </w:p>
        </w:tc>
        <w:tc>
          <w:tcPr>
            <w:tcW w:w="3098" w:type="dxa"/>
            <w:vAlign w:val="center"/>
          </w:tcPr>
          <w:p w14:paraId="2ABC9E88" w14:textId="771012DE" w:rsidR="00E77372" w:rsidRDefault="00A8315E" w:rsidP="00E77372">
            <w:pPr>
              <w:jc w:val="center"/>
            </w:pPr>
            <w:r>
              <w:rPr>
                <w:rFonts w:ascii="Arial" w:hAnsi="Arial" w:cs="Arial"/>
                <w:color w:val="3C4043"/>
                <w:sz w:val="21"/>
                <w:szCs w:val="21"/>
                <w:shd w:val="clear" w:color="auto" w:fill="FFFFFF"/>
              </w:rPr>
              <w:t>→</w:t>
            </w:r>
          </w:p>
        </w:tc>
        <w:tc>
          <w:tcPr>
            <w:tcW w:w="3098" w:type="dxa"/>
            <w:tcBorders>
              <w:top w:val="single" w:sz="4" w:space="0" w:color="auto"/>
              <w:bottom w:val="single" w:sz="4" w:space="0" w:color="auto"/>
            </w:tcBorders>
            <w:vAlign w:val="center"/>
          </w:tcPr>
          <w:p w14:paraId="211A8167" w14:textId="77777777" w:rsidR="00E77372" w:rsidRDefault="00E77372" w:rsidP="00E77372">
            <w:pPr>
              <w:jc w:val="center"/>
            </w:pPr>
          </w:p>
        </w:tc>
      </w:tr>
      <w:tr w:rsidR="00E77372" w14:paraId="777D4CF6" w14:textId="77777777" w:rsidTr="00030417">
        <w:tc>
          <w:tcPr>
            <w:tcW w:w="3097" w:type="dxa"/>
            <w:tcBorders>
              <w:top w:val="single" w:sz="4" w:space="0" w:color="auto"/>
              <w:bottom w:val="single" w:sz="4" w:space="0" w:color="auto"/>
            </w:tcBorders>
            <w:vAlign w:val="center"/>
          </w:tcPr>
          <w:p w14:paraId="72E3DECE" w14:textId="77777777" w:rsidR="00E77372" w:rsidRDefault="00E77372" w:rsidP="00E77372">
            <w:pPr>
              <w:jc w:val="center"/>
            </w:pPr>
            <w:r>
              <w:rPr>
                <w:rFonts w:hint="eastAsia"/>
              </w:rPr>
              <w:t>착하다</w:t>
            </w:r>
          </w:p>
        </w:tc>
        <w:tc>
          <w:tcPr>
            <w:tcW w:w="3098" w:type="dxa"/>
            <w:vAlign w:val="center"/>
          </w:tcPr>
          <w:p w14:paraId="2AE773A8" w14:textId="1CDA0399" w:rsidR="00E77372" w:rsidRDefault="00A8315E" w:rsidP="00E77372">
            <w:pPr>
              <w:jc w:val="center"/>
            </w:pPr>
            <w:r>
              <w:rPr>
                <w:rFonts w:ascii="Arial" w:hAnsi="Arial" w:cs="Arial"/>
                <w:color w:val="3C4043"/>
                <w:sz w:val="21"/>
                <w:szCs w:val="21"/>
                <w:shd w:val="clear" w:color="auto" w:fill="FFFFFF"/>
              </w:rPr>
              <w:t>→</w:t>
            </w:r>
          </w:p>
        </w:tc>
        <w:tc>
          <w:tcPr>
            <w:tcW w:w="3098" w:type="dxa"/>
            <w:tcBorders>
              <w:top w:val="single" w:sz="4" w:space="0" w:color="auto"/>
              <w:bottom w:val="single" w:sz="4" w:space="0" w:color="auto"/>
            </w:tcBorders>
            <w:vAlign w:val="center"/>
          </w:tcPr>
          <w:p w14:paraId="0C4CC063" w14:textId="77777777" w:rsidR="00E77372" w:rsidRDefault="00E77372" w:rsidP="00E77372">
            <w:pPr>
              <w:jc w:val="center"/>
            </w:pPr>
          </w:p>
        </w:tc>
      </w:tr>
      <w:tr w:rsidR="00E77372" w14:paraId="3A97AF30" w14:textId="77777777" w:rsidTr="00030417">
        <w:tc>
          <w:tcPr>
            <w:tcW w:w="3097" w:type="dxa"/>
            <w:tcBorders>
              <w:top w:val="single" w:sz="4" w:space="0" w:color="auto"/>
              <w:bottom w:val="single" w:sz="4" w:space="0" w:color="auto"/>
            </w:tcBorders>
            <w:vAlign w:val="center"/>
          </w:tcPr>
          <w:p w14:paraId="1CFE5FA6" w14:textId="77777777" w:rsidR="00E77372" w:rsidRDefault="00E77372" w:rsidP="00E77372">
            <w:pPr>
              <w:jc w:val="center"/>
            </w:pPr>
            <w:r>
              <w:rPr>
                <w:rFonts w:hint="eastAsia"/>
              </w:rPr>
              <w:t>좋다</w:t>
            </w:r>
          </w:p>
        </w:tc>
        <w:tc>
          <w:tcPr>
            <w:tcW w:w="3098" w:type="dxa"/>
            <w:vAlign w:val="center"/>
          </w:tcPr>
          <w:p w14:paraId="65A81488" w14:textId="00EDB206" w:rsidR="00E77372" w:rsidRDefault="00A8315E" w:rsidP="00E77372">
            <w:pPr>
              <w:jc w:val="center"/>
            </w:pPr>
            <w:r>
              <w:rPr>
                <w:rFonts w:ascii="Arial" w:hAnsi="Arial" w:cs="Arial"/>
                <w:color w:val="3C4043"/>
                <w:sz w:val="21"/>
                <w:szCs w:val="21"/>
                <w:shd w:val="clear" w:color="auto" w:fill="FFFFFF"/>
              </w:rPr>
              <w:t>→</w:t>
            </w:r>
          </w:p>
        </w:tc>
        <w:tc>
          <w:tcPr>
            <w:tcW w:w="3098" w:type="dxa"/>
            <w:tcBorders>
              <w:top w:val="single" w:sz="4" w:space="0" w:color="auto"/>
              <w:bottom w:val="single" w:sz="4" w:space="0" w:color="auto"/>
            </w:tcBorders>
            <w:vAlign w:val="center"/>
          </w:tcPr>
          <w:p w14:paraId="7C288C34" w14:textId="77777777" w:rsidR="00E77372" w:rsidRDefault="00E77372" w:rsidP="00E77372">
            <w:pPr>
              <w:jc w:val="center"/>
            </w:pPr>
          </w:p>
        </w:tc>
      </w:tr>
    </w:tbl>
    <w:p w14:paraId="2A0BBCAA" w14:textId="4167CBBD" w:rsidR="00043292" w:rsidRDefault="00043292" w:rsidP="00043292"/>
    <w:p w14:paraId="45FFFBD5" w14:textId="086D02FC" w:rsidR="000A4F95" w:rsidRDefault="000A4F95" w:rsidP="00043292"/>
    <w:p w14:paraId="5918208A" w14:textId="0DA5214E" w:rsidR="000A4F95" w:rsidRDefault="000A4F95" w:rsidP="00043292"/>
    <w:sectPr w:rsidR="000A4F95"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133A29"/>
    <w:rsid w:val="001829BA"/>
    <w:rsid w:val="001C4C7F"/>
    <w:rsid w:val="00250BAE"/>
    <w:rsid w:val="002A55CE"/>
    <w:rsid w:val="002F12DF"/>
    <w:rsid w:val="0042589A"/>
    <w:rsid w:val="00427024"/>
    <w:rsid w:val="004A6925"/>
    <w:rsid w:val="00513AE7"/>
    <w:rsid w:val="00564AF1"/>
    <w:rsid w:val="00620CDA"/>
    <w:rsid w:val="00641898"/>
    <w:rsid w:val="007355B7"/>
    <w:rsid w:val="00767DCE"/>
    <w:rsid w:val="008576F5"/>
    <w:rsid w:val="00966E2D"/>
    <w:rsid w:val="00A8315E"/>
    <w:rsid w:val="00B90DCD"/>
    <w:rsid w:val="00C72694"/>
    <w:rsid w:val="00C9401F"/>
    <w:rsid w:val="00E415DC"/>
    <w:rsid w:val="00E77372"/>
    <w:rsid w:val="00E959A3"/>
    <w:rsid w:val="00F3014D"/>
    <w:rsid w:val="00F96008"/>
    <w:rsid w:val="00FC4407"/>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3.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307</Words>
  <Characters>1753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21</cp:revision>
  <dcterms:created xsi:type="dcterms:W3CDTF">2020-02-26T11:03:00Z</dcterms:created>
  <dcterms:modified xsi:type="dcterms:W3CDTF">2020-03-03T08:59:00Z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