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A3" w:rsidRPr="00567184" w:rsidRDefault="00AD3AA3" w:rsidP="00AD3AA3">
      <w:pPr>
        <w:jc w:val="center"/>
        <w:rPr>
          <w:rFonts w:ascii="Times New Roman" w:hAnsi="Times New Roman"/>
          <w:sz w:val="24"/>
        </w:rPr>
      </w:pPr>
      <w:r w:rsidRPr="00567184">
        <w:rPr>
          <w:rFonts w:ascii="Times New Roman" w:hAnsi="Times New Roman"/>
          <w:b/>
          <w:sz w:val="24"/>
        </w:rPr>
        <w:t>Ankara Üniversitesi</w:t>
      </w:r>
      <w:r w:rsidRPr="00567184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AD3AA3" w:rsidRPr="00567184" w:rsidRDefault="00AD3AA3" w:rsidP="00AD3AA3">
      <w:pPr>
        <w:jc w:val="center"/>
        <w:rPr>
          <w:rFonts w:ascii="Times New Roman" w:hAnsi="Times New Roman"/>
          <w:b/>
          <w:sz w:val="24"/>
        </w:rPr>
      </w:pPr>
      <w:r w:rsidRPr="00567184">
        <w:rPr>
          <w:rFonts w:ascii="Times New Roman" w:hAnsi="Times New Roman"/>
          <w:b/>
          <w:sz w:val="24"/>
        </w:rPr>
        <w:t>Açık Ders Malzemeleri</w:t>
      </w:r>
    </w:p>
    <w:p w:rsidR="00AD3AA3" w:rsidRPr="00567184" w:rsidRDefault="00AD3AA3" w:rsidP="00AD3AA3">
      <w:pPr>
        <w:pStyle w:val="Basliklar"/>
        <w:jc w:val="center"/>
        <w:rPr>
          <w:rFonts w:ascii="Times New Roman" w:hAnsi="Times New Roman"/>
          <w:sz w:val="24"/>
        </w:rPr>
      </w:pPr>
    </w:p>
    <w:p w:rsidR="00AD3AA3" w:rsidRPr="00567184" w:rsidRDefault="00AD3AA3" w:rsidP="00AD3AA3">
      <w:pPr>
        <w:pStyle w:val="Basliklar"/>
        <w:jc w:val="center"/>
        <w:rPr>
          <w:rFonts w:ascii="Times New Roman" w:hAnsi="Times New Roman"/>
          <w:sz w:val="24"/>
        </w:rPr>
      </w:pPr>
      <w:r w:rsidRPr="00567184">
        <w:rPr>
          <w:rFonts w:ascii="Times New Roman" w:hAnsi="Times New Roman"/>
          <w:sz w:val="24"/>
        </w:rPr>
        <w:t>Ders izlence Formu</w:t>
      </w:r>
    </w:p>
    <w:p w:rsidR="00AD3AA3" w:rsidRPr="00567184" w:rsidRDefault="00AD3AA3" w:rsidP="00AD3AA3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8438"/>
      </w:tblGrid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AD3AA3" w:rsidRPr="00567184" w:rsidRDefault="00AD3AA3" w:rsidP="007570A0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567184">
              <w:rPr>
                <w:rFonts w:ascii="Times New Roman" w:hAnsi="Times New Roman"/>
                <w:b/>
                <w:bCs/>
                <w:sz w:val="24"/>
              </w:rPr>
              <w:t>B</w:t>
            </w:r>
            <w:r w:rsidR="007570A0">
              <w:rPr>
                <w:rFonts w:ascii="Times New Roman" w:hAnsi="Times New Roman"/>
                <w:b/>
                <w:bCs/>
                <w:sz w:val="24"/>
              </w:rPr>
              <w:t xml:space="preserve">TO254 </w:t>
            </w:r>
            <w:bookmarkStart w:id="0" w:name="_GoBack"/>
            <w:bookmarkEnd w:id="0"/>
            <w:r w:rsidRPr="00567184">
              <w:rPr>
                <w:rFonts w:ascii="Times New Roman" w:hAnsi="Times New Roman"/>
                <w:b/>
                <w:bCs/>
                <w:sz w:val="24"/>
              </w:rPr>
              <w:t>Ekoturizm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</w:rPr>
              <w:t>Öğr</w:t>
            </w:r>
            <w:proofErr w:type="spellEnd"/>
            <w:r w:rsidRPr="00567184">
              <w:rPr>
                <w:rFonts w:ascii="Times New Roman" w:hAnsi="Times New Roman"/>
                <w:sz w:val="24"/>
              </w:rPr>
              <w:t>. Gör. Eda Selimoğlu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Seçmeli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Tanımı ve İlgili Kavramlar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Tarihi Gelişimi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Faydaları/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Özellikleri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Kriterleri/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İlkeleri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Sektörel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ve Sosyal Yapısı/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Endüstrisi Dünyada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Endüstrisinin Gelişimi/Türkiye'de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Endüstrisinin Gelişimi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Planlaması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Etkinliklerinin Sınıflandırılması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ve Korunan Alanlar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Etkileri/Çevresel Boyutu/Toplumsal ve Kültürel Etkisi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T.C.Kültür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ve Turizm Bakanlığı'nın Turizmin Çeşitlendirilmesine Yönelik Projeleri Dünyadaki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Uygulamaları</w:t>
            </w:r>
            <w:proofErr w:type="gramEnd"/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Bu dersin amacı turizmde yeni akımlar, sürdürülebilir turizm, eko turizmin tanımı, amaçları ve tarihçesinin kavranması, Turizm ile eko turizm arasındaki ilişkilerin incelenerek doğa temelli turizm türlerinin özümsenmesi, Türkiye’deki flora ve </w:t>
            </w:r>
            <w:proofErr w:type="gram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fauna</w:t>
            </w:r>
            <w:proofErr w:type="gram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yapısının ve ekolojik koşulların incelenmesi, Türkiye'deki fauna ve floranın incelenmesidir.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 xml:space="preserve">Dersin </w:t>
            </w:r>
            <w:r w:rsidRPr="00567184">
              <w:rPr>
                <w:rFonts w:ascii="Times New Roman" w:hAnsi="Times New Roman"/>
                <w:sz w:val="24"/>
              </w:rPr>
              <w:lastRenderedPageBreak/>
              <w:t>Süresi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lastRenderedPageBreak/>
              <w:t>40+40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lastRenderedPageBreak/>
              <w:t>Eğitim Dili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73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5"/>
              <w:gridCol w:w="1500"/>
            </w:tblGrid>
            <w:tr w:rsidR="00AD3AA3" w:rsidRPr="0081097E" w:rsidTr="0073387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AD3AA3" w:rsidRPr="00567184" w:rsidRDefault="00AD3AA3" w:rsidP="0073387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Çağlar, Y. (1995); </w:t>
                  </w:r>
                  <w:proofErr w:type="spellStart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Dendroloji</w:t>
                  </w:r>
                  <w:proofErr w:type="spellEnd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(</w:t>
                  </w:r>
                  <w:proofErr w:type="spellStart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Ağaçbilim</w:t>
                  </w:r>
                  <w:proofErr w:type="spellEnd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) ve Orman Ekolojisi Okulu Ders Notları. Ankara: Kırsal Çevre ve Ormancılık Sorunları Araştırma Derneği Yayını.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AD3AA3" w:rsidRPr="00567184" w:rsidRDefault="00AD3AA3" w:rsidP="00733874">
                  <w:pPr>
                    <w:jc w:val="center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 </w:t>
                  </w:r>
                </w:p>
              </w:tc>
            </w:tr>
            <w:tr w:rsidR="00AD3AA3" w:rsidRPr="0081097E" w:rsidTr="0073387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AD3AA3" w:rsidRPr="00567184" w:rsidRDefault="00AD3AA3" w:rsidP="0073387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proofErr w:type="spellStart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Mamıkoğlu</w:t>
                  </w:r>
                  <w:proofErr w:type="spellEnd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, Necati Güvenç (2009); Türkiye'nin Ağaçları ve Çalıları, NTV Yayını.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AD3AA3" w:rsidRPr="00567184" w:rsidRDefault="00AD3AA3" w:rsidP="00733874">
                  <w:pPr>
                    <w:jc w:val="center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 </w:t>
                  </w:r>
                </w:p>
              </w:tc>
            </w:tr>
            <w:tr w:rsidR="00AD3AA3" w:rsidRPr="0081097E" w:rsidTr="0073387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AD3AA3" w:rsidRPr="00567184" w:rsidRDefault="00AD3AA3" w:rsidP="0073387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Mataracı, T. (2004); Marmara Bölgesi Doğal Egzotik Ağaç ve Çalıları İstanbul: Tema Yayınları.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AD3AA3" w:rsidRPr="00567184" w:rsidRDefault="00AD3AA3" w:rsidP="00733874">
                  <w:pPr>
                    <w:jc w:val="center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 </w:t>
                  </w:r>
                </w:p>
              </w:tc>
            </w:tr>
            <w:tr w:rsidR="00AD3AA3" w:rsidRPr="0081097E" w:rsidTr="00733874"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AD3AA3" w:rsidRPr="00567184" w:rsidRDefault="00AD3AA3" w:rsidP="0073387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Turan, L ve Göktaş, A. (2000); Başkentin Kuşları, ANÇEVA. Ankara Valiliği Çevre Koruma Vakfı Başkanlığı.</w:t>
                  </w:r>
                </w:p>
              </w:tc>
              <w:tc>
                <w:tcPr>
                  <w:tcW w:w="0" w:type="auto"/>
                  <w:shd w:val="clear" w:color="auto" w:fill="F2F2F2"/>
                  <w:vAlign w:val="bottom"/>
                  <w:hideMark/>
                </w:tcPr>
                <w:p w:rsidR="00AD3AA3" w:rsidRPr="00567184" w:rsidRDefault="00AD3AA3" w:rsidP="0073387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Polat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 D. D.</w:t>
            </w:r>
            <w:proofErr w:type="gramStart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Harputluoğlu</w:t>
            </w:r>
            <w:proofErr w:type="spellEnd"/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D. D. (2017).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Sürdürülebilirlik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Kapsamında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Oteller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Narköy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Otel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Eğitim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Merkezi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Kaypak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 Ş. (2010</w:t>
            </w:r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turizmin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sürdürülebilirliği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 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Uluslararası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Alanya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İşletme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Fakültesi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Dergisi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 </w:t>
            </w:r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Kaypak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Ş. (2012).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turizm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kırsal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kalkınma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 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Karamanoğlu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Mehmetbey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Üniversitesi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Sosyal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Ekonomik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Araştırmalar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Dergisi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 </w:t>
            </w:r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>2012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(1), 11-29.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Yücel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C. (2002).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Turizmde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yükselen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değer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 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Türsab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-Ge</w:t>
            </w:r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Kuter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67184">
              <w:rPr>
                <w:rFonts w:ascii="Times New Roman" w:hAnsi="Times New Roman"/>
                <w:sz w:val="24"/>
                <w:szCs w:val="24"/>
              </w:rPr>
              <w:t>N ,</w:t>
            </w:r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Ünal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H . (2014).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Sürdürülebilirlik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Kapsamında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Çevresel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Ekonomik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Sosyo-Kültürel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Etkileri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Kastamonu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Üniversitesi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Orman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Dergisi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 9 (2), 146-156.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Sungur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Z. (2012).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Toplumsal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Etkileri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Türkiye’den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Örnekler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In </w:t>
            </w:r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Internatıonal Conference On Eurasıan </w:t>
            </w:r>
            <w:proofErr w:type="gramStart"/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>Economıes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>pp. 338-344).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Sungur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 Z. (2012). “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Sürdürülebilir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Toplumsal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Etkileri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: 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Türkiye’den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Örnekler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gramStart"/>
            <w:r w:rsidRPr="00567184">
              <w:rPr>
                <w:rFonts w:ascii="Times New Roman" w:hAnsi="Times New Roman"/>
                <w:sz w:val="24"/>
                <w:szCs w:val="24"/>
              </w:rPr>
              <w:t>,[</w:t>
            </w:r>
            <w:proofErr w:type="spellStart"/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Sürüm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]. Internatıonal Conference On Eurasıan Economıes, 2012: 338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184">
              <w:rPr>
                <w:rFonts w:ascii="Times New Roman" w:hAnsi="Times New Roman"/>
                <w:sz w:val="24"/>
                <w:szCs w:val="24"/>
              </w:rPr>
              <w:t>-344</w:t>
            </w:r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67184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</w:rPr>
                <w:t>http://www.baskent.edu.tr/~nerdogan/ekoturizm.html</w:t>
              </w:r>
            </w:hyperlink>
          </w:p>
          <w:p w:rsidR="00AD3AA3" w:rsidRPr="00567184" w:rsidRDefault="00AD3AA3" w:rsidP="0073387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567184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</w:rPr>
                <w:t>http://www.ecotourism.org</w:t>
              </w:r>
            </w:hyperlink>
          </w:p>
          <w:p w:rsidR="00AD3AA3" w:rsidRPr="00567184" w:rsidRDefault="00AD3AA3" w:rsidP="00733874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AD3AA3" w:rsidRPr="00567184" w:rsidTr="00733874">
        <w:trPr>
          <w:jc w:val="center"/>
        </w:trPr>
        <w:tc>
          <w:tcPr>
            <w:tcW w:w="2745" w:type="dxa"/>
            <w:vAlign w:val="center"/>
          </w:tcPr>
          <w:p w:rsidR="00AD3AA3" w:rsidRPr="00567184" w:rsidRDefault="00AD3AA3" w:rsidP="00733874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Diğe</w:t>
            </w:r>
            <w:r w:rsidRPr="00567184">
              <w:rPr>
                <w:rFonts w:ascii="Times New Roman" w:hAnsi="Times New Roman"/>
                <w:sz w:val="24"/>
              </w:rPr>
              <w:lastRenderedPageBreak/>
              <w:t>r-1</w:t>
            </w:r>
          </w:p>
        </w:tc>
        <w:tc>
          <w:tcPr>
            <w:tcW w:w="6068" w:type="dxa"/>
            <w:vAlign w:val="center"/>
          </w:tcPr>
          <w:p w:rsidR="00AD3AA3" w:rsidRPr="00567184" w:rsidRDefault="00AD3AA3" w:rsidP="00733874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AD3AA3" w:rsidRPr="00567184" w:rsidRDefault="00AD3AA3" w:rsidP="00AD3AA3">
      <w:pPr>
        <w:rPr>
          <w:rFonts w:ascii="Times New Roman" w:hAnsi="Times New Roman"/>
          <w:sz w:val="24"/>
        </w:rPr>
      </w:pPr>
    </w:p>
    <w:p w:rsidR="00AD3AA3" w:rsidRPr="00567184" w:rsidRDefault="00AD3AA3" w:rsidP="00AD3AA3">
      <w:pPr>
        <w:rPr>
          <w:rFonts w:ascii="Times New Roman" w:hAnsi="Times New Roman"/>
          <w:sz w:val="24"/>
        </w:rPr>
      </w:pPr>
    </w:p>
    <w:p w:rsidR="00AD3AA3" w:rsidRPr="00567184" w:rsidRDefault="00AD3AA3" w:rsidP="00AD3AA3">
      <w:pPr>
        <w:rPr>
          <w:rFonts w:ascii="Times New Roman" w:hAnsi="Times New Roman"/>
          <w:sz w:val="24"/>
        </w:rPr>
      </w:pPr>
    </w:p>
    <w:p w:rsidR="00AD3AA3" w:rsidRPr="00567184" w:rsidRDefault="00AD3AA3" w:rsidP="00AD3AA3">
      <w:pPr>
        <w:rPr>
          <w:rFonts w:ascii="Times New Roman" w:hAnsi="Times New Roman"/>
          <w:sz w:val="24"/>
        </w:rPr>
      </w:pPr>
    </w:p>
    <w:p w:rsidR="00AD3AA3" w:rsidRPr="00567184" w:rsidRDefault="00AD3AA3" w:rsidP="00AD3AA3">
      <w:pPr>
        <w:rPr>
          <w:rFonts w:ascii="Times New Roman" w:hAnsi="Times New Roman"/>
          <w:sz w:val="24"/>
        </w:rPr>
      </w:pPr>
    </w:p>
    <w:p w:rsidR="00F8136A" w:rsidRDefault="00F8136A"/>
    <w:sectPr w:rsidR="00F8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6D75"/>
    <w:multiLevelType w:val="hybridMultilevel"/>
    <w:tmpl w:val="CA941718"/>
    <w:lvl w:ilvl="0" w:tplc="61FA1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07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CC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E9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A1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C0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8B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0A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A3"/>
    <w:rsid w:val="007570A0"/>
    <w:rsid w:val="00AD3AA3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A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D3AA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D3AA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D3AA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D3AA3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D3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A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D3AA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D3AA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D3AA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D3AA3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D3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cotouris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kent.edu.tr/~nerdogan/ekoturiz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EDA</cp:lastModifiedBy>
  <cp:revision>2</cp:revision>
  <dcterms:created xsi:type="dcterms:W3CDTF">2020-03-13T08:05:00Z</dcterms:created>
  <dcterms:modified xsi:type="dcterms:W3CDTF">2020-03-13T08:05:00Z</dcterms:modified>
</cp:coreProperties>
</file>