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93" w:rsidRDefault="001C7F93" w:rsidP="001C7F93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1C7F93" w:rsidRDefault="001C7F93" w:rsidP="001C7F9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 w:rsidR="001C7F93" w:rsidRDefault="001C7F93" w:rsidP="001C7F93">
      <w:pPr>
        <w:pStyle w:val="Basliklar"/>
        <w:jc w:val="center"/>
        <w:rPr>
          <w:sz w:val="16"/>
          <w:szCs w:val="16"/>
        </w:rPr>
      </w:pPr>
    </w:p>
    <w:p w:rsidR="001C7F93" w:rsidRDefault="001C7F93" w:rsidP="001C7F93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1C7F93" w:rsidRDefault="001C7F93" w:rsidP="001C7F93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068"/>
      </w:tblGrid>
      <w:tr w:rsidR="001C7F93" w:rsidTr="001C7F93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3" w:rsidRDefault="001C7F93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F93" w:rsidRDefault="0035076F">
            <w:pPr>
              <w:pStyle w:val="DersBilgileri"/>
              <w:spacing w:line="256" w:lineRule="auto"/>
              <w:rPr>
                <w:b/>
                <w:bCs/>
                <w:szCs w:val="16"/>
                <w:lang w:eastAsia="en-US"/>
              </w:rPr>
            </w:pPr>
            <w:r>
              <w:rPr>
                <w:b/>
                <w:bCs/>
                <w:szCs w:val="16"/>
                <w:lang w:eastAsia="en-US"/>
              </w:rPr>
              <w:t xml:space="preserve">İLH 428 </w:t>
            </w:r>
            <w:r w:rsidR="003908F3">
              <w:rPr>
                <w:b/>
                <w:bCs/>
                <w:szCs w:val="16"/>
                <w:lang w:eastAsia="en-US"/>
              </w:rPr>
              <w:t xml:space="preserve">DİNLER ARASI İLİŞKİLER </w:t>
            </w:r>
          </w:p>
        </w:tc>
      </w:tr>
      <w:tr w:rsidR="001C7F93" w:rsidTr="001C7F93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3" w:rsidRDefault="001C7F93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F93" w:rsidRDefault="001C7F93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PROF. DR. ALİ İSRA GÜNGÖR</w:t>
            </w:r>
          </w:p>
        </w:tc>
      </w:tr>
      <w:tr w:rsidR="001C7F93" w:rsidTr="001C7F93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3" w:rsidRDefault="001C7F93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F93" w:rsidRDefault="001C7F93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LİSANS</w:t>
            </w:r>
          </w:p>
        </w:tc>
      </w:tr>
      <w:tr w:rsidR="001C7F93" w:rsidTr="001C7F93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3" w:rsidRDefault="001C7F93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F93" w:rsidRDefault="001C7F93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2</w:t>
            </w:r>
          </w:p>
        </w:tc>
      </w:tr>
      <w:tr w:rsidR="001C7F93" w:rsidTr="001C7F93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3" w:rsidRDefault="001C7F93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F93" w:rsidRDefault="003908F3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SEÇMELİ</w:t>
            </w:r>
          </w:p>
        </w:tc>
      </w:tr>
      <w:tr w:rsidR="001C7F93" w:rsidTr="001C7F93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3" w:rsidRDefault="001C7F93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F93" w:rsidRDefault="003908F3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 xml:space="preserve">Dinler arası ilişkiler alanının temel kavramları, dinlerin birbirine yaklaşım modelleri, Yahudilik, Hıristiyanlık ve İslam açısından diğer dinler, </w:t>
            </w:r>
            <w:r w:rsidR="005D0483">
              <w:rPr>
                <w:szCs w:val="16"/>
                <w:lang w:eastAsia="en-US"/>
              </w:rPr>
              <w:t xml:space="preserve">Osmanlı Devletinde </w:t>
            </w:r>
            <w:proofErr w:type="spellStart"/>
            <w:r w:rsidR="005D0483">
              <w:rPr>
                <w:szCs w:val="16"/>
                <w:lang w:eastAsia="en-US"/>
              </w:rPr>
              <w:t>Gayrımüslimler</w:t>
            </w:r>
            <w:proofErr w:type="spellEnd"/>
            <w:r w:rsidR="005D0483">
              <w:rPr>
                <w:szCs w:val="16"/>
                <w:lang w:eastAsia="en-US"/>
              </w:rPr>
              <w:t xml:space="preserve">, </w:t>
            </w:r>
            <w:r>
              <w:rPr>
                <w:szCs w:val="16"/>
                <w:lang w:eastAsia="en-US"/>
              </w:rPr>
              <w:t xml:space="preserve">Hıristiyanlıkta çağdaş </w:t>
            </w:r>
            <w:proofErr w:type="gramStart"/>
            <w:r>
              <w:rPr>
                <w:szCs w:val="16"/>
                <w:lang w:eastAsia="en-US"/>
              </w:rPr>
              <w:t>misyon</w:t>
            </w:r>
            <w:proofErr w:type="gramEnd"/>
            <w:r>
              <w:rPr>
                <w:szCs w:val="16"/>
                <w:lang w:eastAsia="en-US"/>
              </w:rPr>
              <w:t xml:space="preserve"> yöntemleri, </w:t>
            </w:r>
            <w:proofErr w:type="spellStart"/>
            <w:r>
              <w:rPr>
                <w:szCs w:val="16"/>
                <w:lang w:eastAsia="en-US"/>
              </w:rPr>
              <w:t>İslamofobi</w:t>
            </w:r>
            <w:proofErr w:type="spellEnd"/>
            <w:r>
              <w:rPr>
                <w:szCs w:val="16"/>
                <w:lang w:eastAsia="en-US"/>
              </w:rPr>
              <w:t>,</w:t>
            </w:r>
            <w:r w:rsidR="00D96551">
              <w:rPr>
                <w:szCs w:val="16"/>
                <w:lang w:eastAsia="en-US"/>
              </w:rPr>
              <w:t xml:space="preserve"> Yeni dini hareketler,</w:t>
            </w:r>
            <w:r>
              <w:rPr>
                <w:szCs w:val="16"/>
                <w:lang w:eastAsia="en-US"/>
              </w:rPr>
              <w:t xml:space="preserve"> İnanç turizmi konuları</w:t>
            </w:r>
          </w:p>
        </w:tc>
      </w:tr>
      <w:tr w:rsidR="001C7F93" w:rsidTr="001C7F93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3" w:rsidRDefault="001C7F93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F93" w:rsidRDefault="001C7F93" w:rsidP="003908F3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Bu derste; lisa</w:t>
            </w:r>
            <w:r w:rsidR="003908F3">
              <w:rPr>
                <w:szCs w:val="16"/>
                <w:lang w:eastAsia="en-US"/>
              </w:rPr>
              <w:t xml:space="preserve">ns öğrencileri dikkate alınarak Dinler arası ilişkiler alanının temel kavramları, dinlerin birbirine yaklaşım modelleri, Yahudilik, Hıristiyanlık ve İslam açısından diğer dinler, Hıristiyanlıkta çağdaş </w:t>
            </w:r>
            <w:proofErr w:type="gramStart"/>
            <w:r w:rsidR="003908F3">
              <w:rPr>
                <w:szCs w:val="16"/>
                <w:lang w:eastAsia="en-US"/>
              </w:rPr>
              <w:t>misyon</w:t>
            </w:r>
            <w:proofErr w:type="gramEnd"/>
            <w:r w:rsidR="003908F3">
              <w:rPr>
                <w:szCs w:val="16"/>
                <w:lang w:eastAsia="en-US"/>
              </w:rPr>
              <w:t xml:space="preserve"> yöntemleri, </w:t>
            </w:r>
            <w:proofErr w:type="spellStart"/>
            <w:r w:rsidR="003908F3">
              <w:rPr>
                <w:szCs w:val="16"/>
                <w:lang w:eastAsia="en-US"/>
              </w:rPr>
              <w:t>İslamofobi</w:t>
            </w:r>
            <w:proofErr w:type="spellEnd"/>
            <w:r w:rsidR="003908F3">
              <w:rPr>
                <w:szCs w:val="16"/>
                <w:lang w:eastAsia="en-US"/>
              </w:rPr>
              <w:t xml:space="preserve">, </w:t>
            </w:r>
            <w:r w:rsidR="00D96551">
              <w:rPr>
                <w:szCs w:val="16"/>
                <w:lang w:eastAsia="en-US"/>
              </w:rPr>
              <w:t xml:space="preserve">Yeni dini hareketler, </w:t>
            </w:r>
            <w:r w:rsidR="003908F3">
              <w:rPr>
                <w:szCs w:val="16"/>
                <w:lang w:eastAsia="en-US"/>
              </w:rPr>
              <w:t xml:space="preserve">İnanç turizmi konularında </w:t>
            </w:r>
            <w:r w:rsidR="00A92686">
              <w:rPr>
                <w:szCs w:val="16"/>
                <w:lang w:eastAsia="en-US"/>
              </w:rPr>
              <w:t xml:space="preserve">öğrencileri </w:t>
            </w:r>
            <w:bookmarkStart w:id="0" w:name="_GoBack"/>
            <w:bookmarkEnd w:id="0"/>
            <w:r w:rsidR="003908F3">
              <w:rPr>
                <w:szCs w:val="16"/>
                <w:lang w:eastAsia="en-US"/>
              </w:rPr>
              <w:t>bilgilendirmek.</w:t>
            </w:r>
          </w:p>
        </w:tc>
      </w:tr>
      <w:tr w:rsidR="001C7F93" w:rsidTr="001C7F93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3" w:rsidRDefault="001C7F93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F93" w:rsidRDefault="001C7F93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12 Hafta</w:t>
            </w:r>
          </w:p>
        </w:tc>
      </w:tr>
      <w:tr w:rsidR="001C7F93" w:rsidTr="001C7F93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3" w:rsidRDefault="001C7F93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F93" w:rsidRDefault="001C7F93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Türkçe</w:t>
            </w:r>
          </w:p>
        </w:tc>
      </w:tr>
      <w:tr w:rsidR="001C7F93" w:rsidTr="001C7F93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3" w:rsidRDefault="001C7F93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3" w:rsidRDefault="001C7F93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</w:p>
        </w:tc>
      </w:tr>
      <w:tr w:rsidR="001C7F93" w:rsidTr="001C7F93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3" w:rsidRDefault="001C7F93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3" w:rsidRDefault="001C7F93">
            <w:pPr>
              <w:pStyle w:val="Kaynakca"/>
              <w:spacing w:line="256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>Abdurrahman Küçük vd</w:t>
            </w:r>
            <w:proofErr w:type="gramStart"/>
            <w:r>
              <w:rPr>
                <w:szCs w:val="16"/>
                <w:lang w:val="tr-TR" w:eastAsia="en-US"/>
              </w:rPr>
              <w:t>.,</w:t>
            </w:r>
            <w:proofErr w:type="gramEnd"/>
            <w:r>
              <w:rPr>
                <w:szCs w:val="16"/>
                <w:lang w:val="tr-TR" w:eastAsia="en-US"/>
              </w:rPr>
              <w:t xml:space="preserve"> </w:t>
            </w:r>
            <w:r>
              <w:rPr>
                <w:i/>
                <w:szCs w:val="16"/>
                <w:lang w:val="tr-TR" w:eastAsia="en-US"/>
              </w:rPr>
              <w:t>Dinler Tarihi</w:t>
            </w:r>
            <w:r>
              <w:rPr>
                <w:szCs w:val="16"/>
                <w:lang w:val="tr-TR" w:eastAsia="en-US"/>
              </w:rPr>
              <w:t xml:space="preserve">, 9. Baskı, Ankara: </w:t>
            </w:r>
            <w:proofErr w:type="spellStart"/>
            <w:r>
              <w:rPr>
                <w:szCs w:val="16"/>
                <w:lang w:val="tr-TR" w:eastAsia="en-US"/>
              </w:rPr>
              <w:t>Berikan</w:t>
            </w:r>
            <w:proofErr w:type="spellEnd"/>
            <w:r>
              <w:rPr>
                <w:szCs w:val="16"/>
                <w:lang w:val="tr-TR" w:eastAsia="en-US"/>
              </w:rPr>
              <w:t xml:space="preserve"> Yayınları, 2017.</w:t>
            </w:r>
          </w:p>
          <w:p w:rsidR="001C7F93" w:rsidRDefault="001C7F93">
            <w:pPr>
              <w:pStyle w:val="Kaynakca"/>
              <w:spacing w:line="256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 xml:space="preserve">Ahmet Hikmet Eroğlu (ed.), </w:t>
            </w:r>
            <w:r>
              <w:rPr>
                <w:i/>
                <w:szCs w:val="16"/>
                <w:lang w:val="tr-TR" w:eastAsia="en-US"/>
              </w:rPr>
              <w:t>Dinler Tarihi</w:t>
            </w:r>
            <w:r>
              <w:rPr>
                <w:szCs w:val="16"/>
                <w:lang w:val="tr-TR" w:eastAsia="en-US"/>
              </w:rPr>
              <w:t>, Ankara: ANKUZEM Yayınları, 2013.</w:t>
            </w:r>
          </w:p>
          <w:p w:rsidR="001C7F93" w:rsidRDefault="001C7F93">
            <w:pPr>
              <w:pStyle w:val="Kaynakca"/>
              <w:spacing w:line="256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 xml:space="preserve">Baki Adam (ed.), </w:t>
            </w:r>
            <w:r>
              <w:rPr>
                <w:i/>
                <w:szCs w:val="16"/>
                <w:lang w:val="tr-TR" w:eastAsia="en-US"/>
              </w:rPr>
              <w:t>Dinler Tarihi</w:t>
            </w:r>
            <w:r>
              <w:rPr>
                <w:szCs w:val="16"/>
                <w:lang w:val="tr-TR" w:eastAsia="en-US"/>
              </w:rPr>
              <w:t>, 4. Baskı, Ankara: Grafiker Yayınları, 2017.</w:t>
            </w:r>
          </w:p>
          <w:p w:rsidR="00427C1E" w:rsidRDefault="00427C1E">
            <w:pPr>
              <w:pStyle w:val="Kaynakca"/>
              <w:spacing w:line="256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 xml:space="preserve">Ali </w:t>
            </w:r>
            <w:proofErr w:type="spellStart"/>
            <w:r>
              <w:rPr>
                <w:szCs w:val="16"/>
                <w:lang w:val="tr-TR" w:eastAsia="en-US"/>
              </w:rPr>
              <w:t>İsra</w:t>
            </w:r>
            <w:proofErr w:type="spellEnd"/>
            <w:r>
              <w:rPr>
                <w:szCs w:val="16"/>
                <w:lang w:val="tr-TR" w:eastAsia="en-US"/>
              </w:rPr>
              <w:t xml:space="preserve"> G</w:t>
            </w:r>
            <w:r w:rsidR="00D96551">
              <w:rPr>
                <w:szCs w:val="16"/>
                <w:lang w:val="tr-TR" w:eastAsia="en-US"/>
              </w:rPr>
              <w:t>üngör (ed.), Dinler Arası İlişkiler, 1. Baskı, Ankara: Grafiker Yayınları, 2017.</w:t>
            </w:r>
          </w:p>
          <w:p w:rsidR="00557395" w:rsidRDefault="00557395">
            <w:pPr>
              <w:pStyle w:val="Kaynakca"/>
              <w:spacing w:line="256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 xml:space="preserve">Ali </w:t>
            </w:r>
            <w:proofErr w:type="spellStart"/>
            <w:r>
              <w:rPr>
                <w:szCs w:val="16"/>
                <w:lang w:val="tr-TR" w:eastAsia="en-US"/>
              </w:rPr>
              <w:t>İsra</w:t>
            </w:r>
            <w:proofErr w:type="spellEnd"/>
            <w:r>
              <w:rPr>
                <w:szCs w:val="16"/>
                <w:lang w:val="tr-TR" w:eastAsia="en-US"/>
              </w:rPr>
              <w:t xml:space="preserve"> Güngör, Vatikan, Misyon ve Diyalog, Ankara: Töre Yayınları, 19</w:t>
            </w:r>
            <w:r w:rsidR="005D0483">
              <w:rPr>
                <w:szCs w:val="16"/>
                <w:lang w:val="tr-TR" w:eastAsia="en-US"/>
              </w:rPr>
              <w:t>97.</w:t>
            </w:r>
          </w:p>
          <w:p w:rsidR="00506AD0" w:rsidRDefault="00506AD0">
            <w:pPr>
              <w:pStyle w:val="Kaynakca"/>
              <w:spacing w:line="256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 xml:space="preserve">Mahmut Aydın, </w:t>
            </w:r>
            <w:proofErr w:type="spellStart"/>
            <w:r w:rsidR="00557395">
              <w:rPr>
                <w:szCs w:val="16"/>
                <w:lang w:val="tr-TR" w:eastAsia="en-US"/>
              </w:rPr>
              <w:t>Dinlerarası</w:t>
            </w:r>
            <w:proofErr w:type="spellEnd"/>
            <w:r w:rsidR="00557395">
              <w:rPr>
                <w:szCs w:val="16"/>
                <w:lang w:val="tr-TR" w:eastAsia="en-US"/>
              </w:rPr>
              <w:t xml:space="preserve"> Diyalog, Mahiyet, İlkeler ve Tartışmalar, İstanbul: Pınar Yayınları, 2008.</w:t>
            </w:r>
          </w:p>
          <w:p w:rsidR="00273894" w:rsidRDefault="00273894" w:rsidP="003705E4">
            <w:pPr>
              <w:pStyle w:val="Kaynakca"/>
              <w:spacing w:line="256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>Mustafa Alıcı, Müslüman-Hıristiyan Diyaloğu, İstanbul: İz Yayıncılık, 2011.</w:t>
            </w:r>
          </w:p>
          <w:p w:rsidR="001C7F93" w:rsidRDefault="001C7F93" w:rsidP="00273894">
            <w:pPr>
              <w:pStyle w:val="Kaynakca"/>
              <w:spacing w:line="256" w:lineRule="auto"/>
              <w:ind w:left="0" w:firstLine="0"/>
              <w:rPr>
                <w:szCs w:val="16"/>
                <w:lang w:val="tr-TR" w:eastAsia="en-US"/>
              </w:rPr>
            </w:pPr>
          </w:p>
        </w:tc>
      </w:tr>
      <w:tr w:rsidR="001C7F93" w:rsidTr="001C7F93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3" w:rsidRDefault="001C7F93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 (AKTS)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3" w:rsidRDefault="001C7F93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2</w:t>
            </w:r>
          </w:p>
        </w:tc>
      </w:tr>
      <w:tr w:rsidR="001C7F93" w:rsidTr="001C7F93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3" w:rsidRDefault="001C7F93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Laboratuvar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3" w:rsidRDefault="001C7F93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-</w:t>
            </w:r>
          </w:p>
        </w:tc>
      </w:tr>
      <w:tr w:rsidR="001C7F93" w:rsidTr="001C7F93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3" w:rsidRDefault="001C7F93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Diğer-1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3" w:rsidRDefault="001C7F93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-</w:t>
            </w:r>
          </w:p>
        </w:tc>
      </w:tr>
    </w:tbl>
    <w:p w:rsidR="001C7F93" w:rsidRDefault="001C7F93" w:rsidP="001C7F93">
      <w:pPr>
        <w:rPr>
          <w:sz w:val="16"/>
          <w:szCs w:val="16"/>
        </w:rPr>
      </w:pPr>
    </w:p>
    <w:p w:rsidR="001C7F93" w:rsidRDefault="001C7F93" w:rsidP="001C7F93">
      <w:pPr>
        <w:rPr>
          <w:sz w:val="16"/>
          <w:szCs w:val="16"/>
        </w:rPr>
      </w:pPr>
    </w:p>
    <w:p w:rsidR="001C7F93" w:rsidRDefault="001C7F93" w:rsidP="001C7F93">
      <w:pPr>
        <w:rPr>
          <w:sz w:val="16"/>
          <w:szCs w:val="16"/>
        </w:rPr>
      </w:pPr>
    </w:p>
    <w:p w:rsidR="001C7F93" w:rsidRDefault="001C7F93" w:rsidP="001C7F93"/>
    <w:p w:rsidR="001C7F93" w:rsidRDefault="001C7F93" w:rsidP="001C7F93"/>
    <w:p w:rsidR="002E5724" w:rsidRDefault="002E5724"/>
    <w:sectPr w:rsidR="002E5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93"/>
    <w:rsid w:val="001C7F93"/>
    <w:rsid w:val="00273894"/>
    <w:rsid w:val="002E5724"/>
    <w:rsid w:val="0035076F"/>
    <w:rsid w:val="003705E4"/>
    <w:rsid w:val="003908F3"/>
    <w:rsid w:val="00427C1E"/>
    <w:rsid w:val="00506AD0"/>
    <w:rsid w:val="00557395"/>
    <w:rsid w:val="005D0483"/>
    <w:rsid w:val="00A92686"/>
    <w:rsid w:val="00D9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2D8C"/>
  <w15:chartTrackingRefBased/>
  <w15:docId w15:val="{43736559-9100-4BC5-98F9-A2325816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F93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1C7F9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1C7F9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1C7F93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1C7F93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4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2020-04-26T11:38:00Z</dcterms:created>
  <dcterms:modified xsi:type="dcterms:W3CDTF">2020-04-28T15:49:00Z</dcterms:modified>
</cp:coreProperties>
</file>