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8A76" w14:textId="35A0EE57" w:rsidR="00681D07" w:rsidRDefault="00080C41">
      <w:bookmarkStart w:id="0" w:name="_GoBack"/>
      <w:bookmarkEnd w:id="0"/>
      <w:r>
        <w:t>Kaynaklar</w:t>
      </w:r>
    </w:p>
    <w:p w14:paraId="062989CF" w14:textId="2484290C" w:rsidR="00545E5D" w:rsidRDefault="00545E5D" w:rsidP="00251733">
      <w:pPr>
        <w:pStyle w:val="ListeParagraf"/>
        <w:numPr>
          <w:ilvl w:val="0"/>
          <w:numId w:val="1"/>
        </w:numPr>
        <w:jc w:val="both"/>
      </w:pPr>
      <w:r w:rsidRPr="00545E5D">
        <w:t>Bozkır, A, Karataş, A, Hasçiçek, C, Canefe, K, Kılıçarslan, M, Tarımcı, N, et al., Farmasötik Teknoloji Deneysel Uygulamalar Kitabı</w:t>
      </w:r>
      <w:r>
        <w:t>,</w:t>
      </w:r>
      <w:r w:rsidRPr="00545E5D">
        <w:t xml:space="preserve"> Ankara Üniv. yayınları, Ankara, 2004</w:t>
      </w:r>
      <w:r>
        <w:t>.</w:t>
      </w:r>
    </w:p>
    <w:p w14:paraId="6D903DAD" w14:textId="122322EA" w:rsidR="00545E5D" w:rsidRDefault="00545E5D" w:rsidP="00545E5D">
      <w:pPr>
        <w:pStyle w:val="ListeParagraf"/>
        <w:numPr>
          <w:ilvl w:val="0"/>
          <w:numId w:val="1"/>
        </w:numPr>
        <w:jc w:val="both"/>
      </w:pPr>
      <w:r w:rsidRPr="00545E5D">
        <w:t>K. C. Güven, Tıbbi Formüller</w:t>
      </w:r>
      <w:r>
        <w:t xml:space="preserve">, </w:t>
      </w:r>
      <w:r w:rsidRPr="00545E5D">
        <w:t>Nobel Tıp Kitapevi, 2006</w:t>
      </w:r>
      <w:r>
        <w:t xml:space="preserve">. </w:t>
      </w:r>
    </w:p>
    <w:p w14:paraId="68FF3915" w14:textId="309D0BC5" w:rsidR="005E003F" w:rsidRDefault="005E003F" w:rsidP="00545E5D">
      <w:pPr>
        <w:pStyle w:val="ListeParagraf"/>
        <w:numPr>
          <w:ilvl w:val="0"/>
          <w:numId w:val="1"/>
        </w:numPr>
        <w:jc w:val="both"/>
      </w:pPr>
      <w:r w:rsidRPr="005E003F">
        <w:t>Türk Farmakopesi (TF 1974)</w:t>
      </w:r>
    </w:p>
    <w:p w14:paraId="4578FA20" w14:textId="4CF2A644" w:rsidR="005E003F" w:rsidRDefault="005E003F" w:rsidP="005E003F">
      <w:pPr>
        <w:pStyle w:val="ListeParagraf"/>
        <w:numPr>
          <w:ilvl w:val="0"/>
          <w:numId w:val="1"/>
        </w:numPr>
        <w:jc w:val="both"/>
      </w:pPr>
      <w:r>
        <w:t>Martindale-the Extra Pharmacopoeia</w:t>
      </w:r>
    </w:p>
    <w:p w14:paraId="4D20682E" w14:textId="090A0024" w:rsidR="005E003F" w:rsidRDefault="005E003F" w:rsidP="005E003F">
      <w:pPr>
        <w:pStyle w:val="ListeParagraf"/>
        <w:numPr>
          <w:ilvl w:val="0"/>
          <w:numId w:val="1"/>
        </w:numPr>
        <w:jc w:val="both"/>
      </w:pPr>
      <w:r>
        <w:t>USP United States Pharmacopoeia</w:t>
      </w:r>
    </w:p>
    <w:p w14:paraId="34AFA610" w14:textId="7131F25E" w:rsidR="00296F8A" w:rsidRDefault="005E003F" w:rsidP="00080C41">
      <w:pPr>
        <w:pStyle w:val="ListeParagraf"/>
        <w:numPr>
          <w:ilvl w:val="0"/>
          <w:numId w:val="1"/>
        </w:numPr>
        <w:jc w:val="both"/>
      </w:pPr>
      <w:r>
        <w:t>European Pharmacopoeia</w:t>
      </w:r>
    </w:p>
    <w:p w14:paraId="51827B71" w14:textId="77777777" w:rsidR="00296F8A" w:rsidRDefault="00755638" w:rsidP="00251733">
      <w:pPr>
        <w:pStyle w:val="ListeParagraf"/>
        <w:numPr>
          <w:ilvl w:val="0"/>
          <w:numId w:val="1"/>
        </w:numPr>
        <w:jc w:val="both"/>
      </w:pPr>
      <w:r>
        <w:t>Sunil S. Jambhekar, Philip J. Breen</w:t>
      </w:r>
      <w:r w:rsidR="00285C8C">
        <w:t>.</w:t>
      </w:r>
      <w:r w:rsidR="00296F8A">
        <w:t xml:space="preserve"> “</w:t>
      </w:r>
      <w:r w:rsidR="00296F8A" w:rsidRPr="00296F8A">
        <w:t>Basic Pharmacokinetics</w:t>
      </w:r>
      <w:r w:rsidR="00296F8A">
        <w:t xml:space="preserve">” </w:t>
      </w:r>
      <w:r>
        <w:t xml:space="preserve">Pharmaceutical Press. </w:t>
      </w:r>
      <w:r w:rsidR="000909B8">
        <w:t xml:space="preserve">Second edition, </w:t>
      </w:r>
      <w:r>
        <w:t>2012</w:t>
      </w:r>
      <w:r w:rsidR="00296F8A">
        <w:t>.</w:t>
      </w:r>
    </w:p>
    <w:p w14:paraId="15C690C5" w14:textId="77777777" w:rsidR="00285C8C" w:rsidRDefault="00285C8C" w:rsidP="00251733">
      <w:pPr>
        <w:pStyle w:val="ListeParagraf"/>
        <w:numPr>
          <w:ilvl w:val="0"/>
          <w:numId w:val="1"/>
        </w:numPr>
        <w:jc w:val="both"/>
      </w:pPr>
      <w:r w:rsidRPr="00285C8C">
        <w:t>Tarek A. Ahmed</w:t>
      </w:r>
      <w:r>
        <w:t>. “Chapter 3. Pharmacokinetics of Drugs Following IV Bolus, IV Infusion, and Oral Administration”. In: “</w:t>
      </w:r>
      <w:r w:rsidRPr="00285C8C">
        <w:t>Basic Pharmacokinetic Concepts and Some Clinical Applications</w:t>
      </w:r>
      <w:r>
        <w:t>” pages: 53-98, 2015.</w:t>
      </w:r>
    </w:p>
    <w:p w14:paraId="7DAC8C8F" w14:textId="77777777" w:rsidR="00755638" w:rsidRDefault="00755638" w:rsidP="00251733">
      <w:pPr>
        <w:pStyle w:val="ListeParagraf"/>
        <w:numPr>
          <w:ilvl w:val="0"/>
          <w:numId w:val="1"/>
        </w:numPr>
        <w:jc w:val="both"/>
      </w:pPr>
      <w:r>
        <w:t>Jens T. Carstensen, C.T. Rhodes. “Drug Stability Principles and Prcatices” Third Edition, Revised and Expanded, 2000.</w:t>
      </w:r>
    </w:p>
    <w:p w14:paraId="5F995697" w14:textId="77777777" w:rsidR="00394886" w:rsidRDefault="00394886" w:rsidP="00251733">
      <w:pPr>
        <w:pStyle w:val="ListeParagraf"/>
        <w:numPr>
          <w:ilvl w:val="0"/>
          <w:numId w:val="1"/>
        </w:numPr>
        <w:jc w:val="both"/>
      </w:pPr>
      <w:r>
        <w:t>İlbeyi Ağabeyoğlu. “Bölüm 11. Temel Farmakokinetik”. In: “Modern Farmasötik Teknoloji” TEB Eczacılık Akademisi, 2009.</w:t>
      </w:r>
    </w:p>
    <w:p w14:paraId="189BB673" w14:textId="77777777" w:rsidR="00681D07" w:rsidRDefault="00394886" w:rsidP="00251733">
      <w:pPr>
        <w:pStyle w:val="ListeParagraf"/>
        <w:numPr>
          <w:ilvl w:val="0"/>
          <w:numId w:val="1"/>
        </w:numPr>
        <w:jc w:val="both"/>
      </w:pPr>
      <w:r>
        <w:t>Füsun Acartürk</w:t>
      </w:r>
      <w:r w:rsidRPr="00394886">
        <w:t>. “</w:t>
      </w:r>
      <w:r>
        <w:t>Reaksiyon Kinetiği ve Stabilite</w:t>
      </w:r>
      <w:r w:rsidRPr="00394886">
        <w:t xml:space="preserve">”. In: “Modern Farmasötik Teknoloji” TEB </w:t>
      </w:r>
      <w:r>
        <w:t>Eczacılık Akademisi</w:t>
      </w:r>
      <w:r w:rsidRPr="00394886">
        <w:t>, 2009.</w:t>
      </w:r>
    </w:p>
    <w:p w14:paraId="372C7919" w14:textId="77777777" w:rsidR="00394886" w:rsidRDefault="00681D07" w:rsidP="00251733">
      <w:pPr>
        <w:pStyle w:val="ListeParagraf"/>
        <w:numPr>
          <w:ilvl w:val="0"/>
          <w:numId w:val="1"/>
        </w:numPr>
        <w:jc w:val="both"/>
      </w:pPr>
      <w:r>
        <w:t>"Drug Targeting And Delivery: Concepts In Dosage Form Design", Editor:  H.E. Junginger , CRC Press, 1992, ISBN : 978-0824794446</w:t>
      </w:r>
    </w:p>
    <w:p w14:paraId="402E9258" w14:textId="77777777" w:rsidR="00681D07" w:rsidRDefault="00681D07" w:rsidP="00251733">
      <w:pPr>
        <w:pStyle w:val="ListeParagraf"/>
        <w:numPr>
          <w:ilvl w:val="0"/>
          <w:numId w:val="1"/>
        </w:numPr>
        <w:jc w:val="both"/>
      </w:pPr>
      <w:r>
        <w:t xml:space="preserve">Parenteral Preparations. </w:t>
      </w:r>
      <w:r w:rsidRPr="00681D07">
        <w:t>Remington: The Science and Practice of Pharmacy</w:t>
      </w:r>
      <w:r>
        <w:t>. Ed.:David B. Troy,</w:t>
      </w:r>
      <w:r w:rsidRPr="00681D07">
        <w:t xml:space="preserve"> Lippincott Williams &amp; Wilkins, 2006</w:t>
      </w:r>
      <w:r>
        <w:t>.</w:t>
      </w:r>
    </w:p>
    <w:p w14:paraId="55B100C6" w14:textId="77777777" w:rsidR="00681D07" w:rsidRDefault="00251733" w:rsidP="00251733">
      <w:pPr>
        <w:pStyle w:val="ListeParagraf"/>
        <w:numPr>
          <w:ilvl w:val="0"/>
          <w:numId w:val="1"/>
        </w:numPr>
        <w:jc w:val="both"/>
      </w:pPr>
      <w:r>
        <w:t xml:space="preserve">Principles of Filtration. </w:t>
      </w:r>
      <w:r w:rsidRPr="00251733">
        <w:t>https://www.pall.com/content/dam/pall/oil-gas/literature-library/non-gated/WER_5300B.pdf</w:t>
      </w:r>
    </w:p>
    <w:p w14:paraId="02779EB9" w14:textId="77777777" w:rsidR="00681D07" w:rsidRDefault="00681D07" w:rsidP="00681D07">
      <w:pPr>
        <w:pStyle w:val="ListeParagraf"/>
      </w:pPr>
    </w:p>
    <w:sectPr w:rsidR="0068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8A"/>
    <w:rsid w:val="00080C41"/>
    <w:rsid w:val="000909B8"/>
    <w:rsid w:val="001354ED"/>
    <w:rsid w:val="00251733"/>
    <w:rsid w:val="00285C8C"/>
    <w:rsid w:val="00296F8A"/>
    <w:rsid w:val="00394886"/>
    <w:rsid w:val="00545E5D"/>
    <w:rsid w:val="005E003F"/>
    <w:rsid w:val="00681D07"/>
    <w:rsid w:val="00755638"/>
    <w:rsid w:val="009E5661"/>
    <w:rsid w:val="00BD4D6D"/>
    <w:rsid w:val="00DB1CDD"/>
    <w:rsid w:val="00D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1C325"/>
  <w15:docId w15:val="{D370239A-345D-4205-A57C-540C6A0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Berrin.Basaran</cp:lastModifiedBy>
  <cp:revision>2</cp:revision>
  <dcterms:created xsi:type="dcterms:W3CDTF">2020-04-29T18:26:00Z</dcterms:created>
  <dcterms:modified xsi:type="dcterms:W3CDTF">2020-04-29T18:26:00Z</dcterms:modified>
</cp:coreProperties>
</file>