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C28952" w14:textId="77777777" w:rsidR="00EB7905" w:rsidRPr="001E2B02" w:rsidRDefault="00EB7905" w:rsidP="001E2B0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B02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B3D7FB" wp14:editId="79719AF0">
                <wp:simplePos x="0" y="0"/>
                <wp:positionH relativeFrom="margin">
                  <wp:align>center</wp:align>
                </wp:positionH>
                <wp:positionV relativeFrom="paragraph">
                  <wp:posOffset>2540</wp:posOffset>
                </wp:positionV>
                <wp:extent cx="4800600" cy="0"/>
                <wp:effectExtent l="0" t="19050" r="38100" b="381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ln w="47625" cmpd="dbl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4A99FEC" id="Straight Connector 1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2pt" to="378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" strokecolor="black [3200]" strokeweight="3.75pt">
                <v:stroke linestyle="thinThin" joinstyle="miter"/>
                <w10:wrap anchorx="margin"/>
              </v:line>
            </w:pict>
          </mc:Fallback>
        </mc:AlternateContent>
      </w:r>
    </w:p>
    <w:p w14:paraId="331AE209" w14:textId="77777777" w:rsidR="00EB7905" w:rsidRPr="001E2B02" w:rsidRDefault="00EB7905" w:rsidP="001E2B02">
      <w:pPr>
        <w:tabs>
          <w:tab w:val="left" w:pos="328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B02">
        <w:rPr>
          <w:rFonts w:ascii="Times New Roman" w:hAnsi="Times New Roman" w:cs="Times New Roman"/>
          <w:sz w:val="24"/>
          <w:szCs w:val="24"/>
        </w:rPr>
        <w:t>Doğru nedir sorusu muhtemelen kavramlaşt</w:t>
      </w:r>
      <w:bookmarkStart w:id="0" w:name="_GoBack"/>
      <w:bookmarkEnd w:id="0"/>
      <w:r w:rsidRPr="001E2B02">
        <w:rPr>
          <w:rFonts w:ascii="Times New Roman" w:hAnsi="Times New Roman" w:cs="Times New Roman"/>
          <w:sz w:val="24"/>
          <w:szCs w:val="24"/>
        </w:rPr>
        <w:t xml:space="preserve">ırılmaya başlamadan çok önceleri de insan zihnini yoran bir faaliyetti. Ancak bu konu hakkındaki ilk kavramlaştırmalar MÖ 350’lere kadar gitmektedir. </w:t>
      </w:r>
      <w:r w:rsidR="00C97D95" w:rsidRPr="001E2B02">
        <w:rPr>
          <w:rFonts w:ascii="Times New Roman" w:hAnsi="Times New Roman" w:cs="Times New Roman"/>
          <w:sz w:val="24"/>
          <w:szCs w:val="24"/>
        </w:rPr>
        <w:t>Doğrunun ne olduğuna ilişkin verilen yanıtları 4 dönemde toplamak mümkündür. Bunlar:</w:t>
      </w:r>
    </w:p>
    <w:p w14:paraId="295E458B" w14:textId="77777777" w:rsidR="00C97D95" w:rsidRPr="001E2B02" w:rsidRDefault="00C97D95" w:rsidP="001E2B02">
      <w:pPr>
        <w:pStyle w:val="ListParagraph"/>
        <w:numPr>
          <w:ilvl w:val="0"/>
          <w:numId w:val="1"/>
        </w:numPr>
        <w:tabs>
          <w:tab w:val="left" w:pos="328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B02">
        <w:rPr>
          <w:rFonts w:ascii="Times New Roman" w:hAnsi="Times New Roman" w:cs="Times New Roman"/>
          <w:sz w:val="24"/>
          <w:szCs w:val="24"/>
        </w:rPr>
        <w:t>Aristoteles (</w:t>
      </w:r>
      <m:oMath>
        <m:r>
          <w:rPr>
            <w:rFonts w:ascii="Cambria Math" w:hAnsi="Cambria Math" w:cs="Times New Roman"/>
            <w:sz w:val="24"/>
            <w:szCs w:val="24"/>
          </w:rPr>
          <m:t>~</m:t>
        </m:r>
      </m:oMath>
      <w:r w:rsidRPr="001E2B02">
        <w:rPr>
          <w:rFonts w:ascii="Times New Roman" w:eastAsiaTheme="minorEastAsia" w:hAnsi="Times New Roman" w:cs="Times New Roman"/>
          <w:sz w:val="24"/>
          <w:szCs w:val="24"/>
        </w:rPr>
        <w:t>MÖ 350)</w:t>
      </w:r>
    </w:p>
    <w:p w14:paraId="209EA9E8" w14:textId="77777777" w:rsidR="00C97D95" w:rsidRPr="001E2B02" w:rsidRDefault="00C97D95" w:rsidP="001E2B02">
      <w:pPr>
        <w:pStyle w:val="ListParagraph"/>
        <w:numPr>
          <w:ilvl w:val="0"/>
          <w:numId w:val="1"/>
        </w:numPr>
        <w:tabs>
          <w:tab w:val="left" w:pos="328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2B02">
        <w:rPr>
          <w:rFonts w:ascii="Times New Roman" w:eastAsiaTheme="minorEastAsia" w:hAnsi="Times New Roman" w:cs="Times New Roman"/>
          <w:sz w:val="24"/>
          <w:szCs w:val="24"/>
        </w:rPr>
        <w:t>Augustinus</w:t>
      </w:r>
      <w:proofErr w:type="spellEnd"/>
      <w:r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~</m:t>
        </m:r>
      </m:oMath>
      <w:r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400)</w:t>
      </w:r>
    </w:p>
    <w:p w14:paraId="01E8FCE8" w14:textId="77777777" w:rsidR="00C97D95" w:rsidRPr="001E2B02" w:rsidRDefault="00C97D95" w:rsidP="001E2B02">
      <w:pPr>
        <w:pStyle w:val="ListParagraph"/>
        <w:numPr>
          <w:ilvl w:val="0"/>
          <w:numId w:val="1"/>
        </w:numPr>
        <w:tabs>
          <w:tab w:val="left" w:pos="328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B02">
        <w:rPr>
          <w:rFonts w:ascii="Times New Roman" w:eastAsiaTheme="minorEastAsia" w:hAnsi="Times New Roman" w:cs="Times New Roman"/>
          <w:sz w:val="24"/>
          <w:szCs w:val="24"/>
        </w:rPr>
        <w:t>İlk Üniversiteler 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~</m:t>
        </m:r>
      </m:oMath>
      <w:r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1200)</w:t>
      </w:r>
    </w:p>
    <w:p w14:paraId="623AF8AA" w14:textId="77777777" w:rsidR="001043EB" w:rsidRPr="001E2B02" w:rsidRDefault="00C97D95" w:rsidP="001E2B02">
      <w:pPr>
        <w:pStyle w:val="ListParagraph"/>
        <w:numPr>
          <w:ilvl w:val="0"/>
          <w:numId w:val="1"/>
        </w:numPr>
        <w:tabs>
          <w:tab w:val="left" w:pos="328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B02">
        <w:rPr>
          <w:rFonts w:ascii="Times New Roman" w:eastAsiaTheme="minorEastAsia" w:hAnsi="Times New Roman" w:cs="Times New Roman"/>
          <w:sz w:val="24"/>
          <w:szCs w:val="24"/>
        </w:rPr>
        <w:t xml:space="preserve">Filozof Bilimciler </w:t>
      </w:r>
    </w:p>
    <w:p w14:paraId="0B628E4B" w14:textId="77777777" w:rsidR="00042A7C" w:rsidRPr="001E2B02" w:rsidRDefault="00AA7217" w:rsidP="001E2B02">
      <w:pPr>
        <w:tabs>
          <w:tab w:val="left" w:pos="3285"/>
        </w:tabs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E2B02">
        <w:rPr>
          <w:rFonts w:ascii="Times New Roman" w:eastAsiaTheme="minorEastAsia" w:hAnsi="Times New Roman" w:cs="Times New Roman"/>
          <w:sz w:val="24"/>
          <w:szCs w:val="24"/>
        </w:rPr>
        <w:t xml:space="preserve">Bu dönemlerde, söz konusu bilimciler ve filozoflar bilgiye ulaşmada birbirlerinden farklı düşünceler geliştirmişlerdir. </w:t>
      </w:r>
      <w:r w:rsidR="00D12290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Buna göre </w:t>
      </w:r>
      <w:r w:rsidR="00AE0595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rasyonalist ekol mensupları mantığı; </w:t>
      </w:r>
      <w:proofErr w:type="spellStart"/>
      <w:r w:rsidR="00AE0595" w:rsidRPr="001E2B02">
        <w:rPr>
          <w:rFonts w:ascii="Times New Roman" w:eastAsiaTheme="minorEastAsia" w:hAnsi="Times New Roman" w:cs="Times New Roman"/>
          <w:sz w:val="24"/>
          <w:szCs w:val="24"/>
        </w:rPr>
        <w:t>Empirisistler</w:t>
      </w:r>
      <w:proofErr w:type="spellEnd"/>
      <w:r w:rsidR="00AE0595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gözleme dayalı kanıtı; Şüpheciler (septikler) kaygılı </w:t>
      </w:r>
      <w:proofErr w:type="spellStart"/>
      <w:r w:rsidR="00AE0595" w:rsidRPr="001E2B02">
        <w:rPr>
          <w:rFonts w:ascii="Times New Roman" w:eastAsiaTheme="minorEastAsia" w:hAnsi="Times New Roman" w:cs="Times New Roman"/>
          <w:sz w:val="24"/>
          <w:szCs w:val="24"/>
        </w:rPr>
        <w:t>önvarsayımları</w:t>
      </w:r>
      <w:proofErr w:type="spellEnd"/>
      <w:r w:rsidR="00AE0595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="00AE0595" w:rsidRPr="001E2B02">
        <w:rPr>
          <w:rFonts w:ascii="Times New Roman" w:eastAsiaTheme="minorEastAsia" w:hAnsi="Times New Roman" w:cs="Times New Roman"/>
          <w:sz w:val="24"/>
          <w:szCs w:val="24"/>
        </w:rPr>
        <w:t>presupposition</w:t>
      </w:r>
      <w:proofErr w:type="spellEnd"/>
      <w:r w:rsidR="00AE0595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); ana akımı destekleyen filozof ve bilimciler güvenli </w:t>
      </w:r>
      <w:proofErr w:type="spellStart"/>
      <w:r w:rsidR="00AE0595" w:rsidRPr="001E2B02">
        <w:rPr>
          <w:rFonts w:ascii="Times New Roman" w:eastAsiaTheme="minorEastAsia" w:hAnsi="Times New Roman" w:cs="Times New Roman"/>
          <w:sz w:val="24"/>
          <w:szCs w:val="24"/>
        </w:rPr>
        <w:t>önvarsayımları</w:t>
      </w:r>
      <w:proofErr w:type="spellEnd"/>
      <w:r w:rsidR="00AE0595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; Mantıkçı </w:t>
      </w:r>
      <w:proofErr w:type="spellStart"/>
      <w:r w:rsidR="00AE0595" w:rsidRPr="001E2B02">
        <w:rPr>
          <w:rFonts w:ascii="Times New Roman" w:eastAsiaTheme="minorEastAsia" w:hAnsi="Times New Roman" w:cs="Times New Roman"/>
          <w:sz w:val="24"/>
          <w:szCs w:val="24"/>
        </w:rPr>
        <w:t>Empirisistler</w:t>
      </w:r>
      <w:proofErr w:type="spellEnd"/>
      <w:r w:rsidR="00AE0595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mantık &amp; kanıtı girdileri olarak kabul etmişlerdir. </w:t>
      </w:r>
    </w:p>
    <w:p w14:paraId="5EF99961" w14:textId="77777777" w:rsidR="002D17CA" w:rsidRPr="001E2B02" w:rsidRDefault="00042A7C" w:rsidP="001E2B02">
      <w:pPr>
        <w:tabs>
          <w:tab w:val="left" w:pos="3285"/>
        </w:tabs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E2B02">
        <w:rPr>
          <w:rFonts w:ascii="Times New Roman" w:eastAsiaTheme="minorEastAsia" w:hAnsi="Times New Roman" w:cs="Times New Roman"/>
          <w:sz w:val="24"/>
          <w:szCs w:val="24"/>
        </w:rPr>
        <w:t>Aristoteles zikrettiğimiz ekollerden h</w:t>
      </w:r>
      <w:r w:rsidR="00DB3AFE" w:rsidRPr="001E2B02">
        <w:rPr>
          <w:rFonts w:ascii="Times New Roman" w:eastAsiaTheme="minorEastAsia" w:hAnsi="Times New Roman" w:cs="Times New Roman"/>
          <w:sz w:val="24"/>
          <w:szCs w:val="24"/>
        </w:rPr>
        <w:t>em rasyonalizm</w:t>
      </w:r>
      <w:r w:rsidR="0014253E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hem de </w:t>
      </w:r>
      <w:proofErr w:type="spellStart"/>
      <w:r w:rsidR="0014253E" w:rsidRPr="001E2B02">
        <w:rPr>
          <w:rFonts w:ascii="Times New Roman" w:eastAsiaTheme="minorEastAsia" w:hAnsi="Times New Roman" w:cs="Times New Roman"/>
          <w:sz w:val="24"/>
          <w:szCs w:val="24"/>
        </w:rPr>
        <w:t>empirisizmin</w:t>
      </w:r>
      <w:proofErr w:type="spellEnd"/>
      <w:r w:rsidR="0014253E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temsilcisi</w:t>
      </w:r>
      <w:r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olarak gösterilebilir.</w:t>
      </w:r>
      <w:r w:rsidR="0014253E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370CA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Aristoteles doğruyu uyuşma kavramıyla tanımlar. </w:t>
      </w:r>
    </w:p>
    <w:p w14:paraId="287DF8AE" w14:textId="77777777" w:rsidR="0007345E" w:rsidRPr="001E2B02" w:rsidRDefault="002D17CA" w:rsidP="001E2B02">
      <w:pPr>
        <w:tabs>
          <w:tab w:val="left" w:pos="3285"/>
        </w:tabs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E2B02">
        <w:rPr>
          <w:rFonts w:ascii="Times New Roman" w:eastAsiaTheme="minorEastAsia" w:hAnsi="Times New Roman" w:cs="Times New Roman"/>
          <w:sz w:val="24"/>
          <w:szCs w:val="24"/>
        </w:rPr>
        <w:t xml:space="preserve">Aristoteles </w:t>
      </w:r>
      <w:proofErr w:type="spellStart"/>
      <w:r w:rsidRPr="001E2B02">
        <w:rPr>
          <w:rFonts w:ascii="Times New Roman" w:eastAsiaTheme="minorEastAsia" w:hAnsi="Times New Roman" w:cs="Times New Roman"/>
          <w:sz w:val="24"/>
          <w:szCs w:val="24"/>
        </w:rPr>
        <w:t>tümdengelimci</w:t>
      </w:r>
      <w:proofErr w:type="spellEnd"/>
      <w:r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bir düşünüşle kesin bilgiye ulaşılabileceğine inanmıştır. Bunun ardında yatan sebep geometridir. </w:t>
      </w:r>
      <w:proofErr w:type="spellStart"/>
      <w:r w:rsidR="004C2BB0" w:rsidRPr="001E2B02">
        <w:rPr>
          <w:rFonts w:ascii="Times New Roman" w:eastAsiaTheme="minorEastAsia" w:hAnsi="Times New Roman" w:cs="Times New Roman"/>
          <w:sz w:val="24"/>
          <w:szCs w:val="24"/>
        </w:rPr>
        <w:t>Tümdengelimci</w:t>
      </w:r>
      <w:proofErr w:type="spellEnd"/>
      <w:r w:rsidR="004C2BB0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kesinlik ideali olmasına karşın gözlemsel verilerden tümevarım yöntemiyle genellemelere ulaşmak da Aristoteles’in yöntem anlayışının içindeydi. </w:t>
      </w:r>
      <w:r w:rsidR="00D63937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Dolayısıyla Aristoteles’in yöntem anlayışı </w:t>
      </w:r>
      <w:proofErr w:type="spellStart"/>
      <w:r w:rsidR="00D63937" w:rsidRPr="001E2B02">
        <w:rPr>
          <w:rFonts w:ascii="Times New Roman" w:eastAsiaTheme="minorEastAsia" w:hAnsi="Times New Roman" w:cs="Times New Roman"/>
          <w:sz w:val="24"/>
          <w:szCs w:val="24"/>
        </w:rPr>
        <w:t>tümevarımsal-tümdengelimsel</w:t>
      </w:r>
      <w:proofErr w:type="spellEnd"/>
      <w:r w:rsidR="00D63937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="00D63937" w:rsidRPr="001E2B02">
        <w:rPr>
          <w:rFonts w:ascii="Times New Roman" w:eastAsiaTheme="minorEastAsia" w:hAnsi="Times New Roman" w:cs="Times New Roman"/>
          <w:sz w:val="24"/>
          <w:szCs w:val="24"/>
        </w:rPr>
        <w:t>indüktif-dedüktif</w:t>
      </w:r>
      <w:proofErr w:type="spellEnd"/>
      <w:r w:rsidR="00D63937" w:rsidRPr="001E2B02">
        <w:rPr>
          <w:rFonts w:ascii="Times New Roman" w:eastAsiaTheme="minorEastAsia" w:hAnsi="Times New Roman" w:cs="Times New Roman"/>
          <w:sz w:val="24"/>
          <w:szCs w:val="24"/>
        </w:rPr>
        <w:t>) olarak verilebilir.</w:t>
      </w:r>
      <w:r w:rsidR="0007345E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03B9E7E8" w14:textId="77777777" w:rsidR="001B7B7D" w:rsidRPr="001E2B02" w:rsidRDefault="00CB3526" w:rsidP="001E2B02">
      <w:pPr>
        <w:tabs>
          <w:tab w:val="left" w:pos="3285"/>
        </w:tabs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E2B02">
        <w:rPr>
          <w:rFonts w:ascii="Times New Roman" w:eastAsiaTheme="minorEastAsia" w:hAnsi="Times New Roman" w:cs="Times New Roman"/>
          <w:sz w:val="24"/>
          <w:szCs w:val="24"/>
        </w:rPr>
        <w:t xml:space="preserve">Aristoteles, fiziksel dünyanın gerçek olduğunu söylemesiyle bilimi stratejik bir biçimde ilerletmiştir. Hocası Platon’un, görünür dünyanın bir yanılsama olduğu düşüncesini </w:t>
      </w:r>
      <w:r w:rsidRPr="001E2B02">
        <w:rPr>
          <w:rFonts w:ascii="Times New Roman" w:eastAsiaTheme="minorEastAsia" w:hAnsi="Times New Roman" w:cs="Times New Roman"/>
          <w:sz w:val="24"/>
          <w:szCs w:val="24"/>
        </w:rPr>
        <w:lastRenderedPageBreak/>
        <w:t>reddetmiştir.</w:t>
      </w:r>
      <w:r w:rsidR="001B7B7D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Aristoteles’in oluşturduğu </w:t>
      </w:r>
      <w:proofErr w:type="spellStart"/>
      <w:r w:rsidR="001B7B7D" w:rsidRPr="001E2B02">
        <w:rPr>
          <w:rFonts w:ascii="Times New Roman" w:eastAsiaTheme="minorEastAsia" w:hAnsi="Times New Roman" w:cs="Times New Roman"/>
          <w:sz w:val="24"/>
          <w:szCs w:val="24"/>
        </w:rPr>
        <w:t>tümdengelimsel</w:t>
      </w:r>
      <w:proofErr w:type="spellEnd"/>
      <w:r w:rsidR="001B7B7D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mantık </w:t>
      </w:r>
      <w:proofErr w:type="spellStart"/>
      <w:r w:rsidR="001B7B7D" w:rsidRPr="001E2B02">
        <w:rPr>
          <w:rFonts w:ascii="Times New Roman" w:eastAsiaTheme="minorEastAsia" w:hAnsi="Times New Roman" w:cs="Times New Roman"/>
          <w:sz w:val="24"/>
          <w:szCs w:val="24"/>
        </w:rPr>
        <w:t>Euklides’in</w:t>
      </w:r>
      <w:proofErr w:type="spellEnd"/>
      <w:r w:rsidR="001B7B7D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B7B7D" w:rsidRPr="001E2B02">
        <w:rPr>
          <w:rFonts w:ascii="Times New Roman" w:eastAsiaTheme="minorEastAsia" w:hAnsi="Times New Roman" w:cs="Times New Roman"/>
          <w:sz w:val="24"/>
          <w:szCs w:val="24"/>
        </w:rPr>
        <w:t>aksiyomatik</w:t>
      </w:r>
      <w:proofErr w:type="spellEnd"/>
      <w:r w:rsidR="001B7B7D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yöntemi </w:t>
      </w:r>
      <w:proofErr w:type="spellStart"/>
      <w:r w:rsidR="001B7B7D" w:rsidRPr="001E2B02">
        <w:rPr>
          <w:rFonts w:ascii="Times New Roman" w:eastAsiaTheme="minorEastAsia" w:hAnsi="Times New Roman" w:cs="Times New Roman"/>
          <w:sz w:val="24"/>
          <w:szCs w:val="24"/>
        </w:rPr>
        <w:t>öncellemesi</w:t>
      </w:r>
      <w:proofErr w:type="spellEnd"/>
      <w:r w:rsidR="001B7B7D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bakımından da ayrıca önemlidir. </w:t>
      </w:r>
    </w:p>
    <w:p w14:paraId="0E0267B5" w14:textId="77777777" w:rsidR="00D246E3" w:rsidRPr="001E2B02" w:rsidRDefault="001B7B7D" w:rsidP="001E2B02">
      <w:pPr>
        <w:tabs>
          <w:tab w:val="left" w:pos="3285"/>
        </w:tabs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E2B02">
        <w:rPr>
          <w:rFonts w:ascii="Times New Roman" w:eastAsiaTheme="minorEastAsia" w:hAnsi="Times New Roman" w:cs="Times New Roman"/>
          <w:sz w:val="24"/>
          <w:szCs w:val="24"/>
        </w:rPr>
        <w:t xml:space="preserve">Aristoteles’in doğa bilimlerinde başarının standardı olarak geometriyi seçmesi, bilimsel yöntemin bütün bir halde üstesinden geleceği bir işi sadece tümdengelime havale etmesiyle sonuçlandı. </w:t>
      </w:r>
      <w:r w:rsidR="00FE76FA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Ayrıca 2000 yıl sonra </w:t>
      </w:r>
      <w:proofErr w:type="spellStart"/>
      <w:r w:rsidR="00FE76FA" w:rsidRPr="001E2B02">
        <w:rPr>
          <w:rFonts w:ascii="Times New Roman" w:eastAsiaTheme="minorEastAsia" w:hAnsi="Times New Roman" w:cs="Times New Roman"/>
          <w:sz w:val="24"/>
          <w:szCs w:val="24"/>
        </w:rPr>
        <w:t>Euclides</w:t>
      </w:r>
      <w:proofErr w:type="spellEnd"/>
      <w:r w:rsidR="00FE76FA" w:rsidRPr="001E2B02">
        <w:rPr>
          <w:rFonts w:ascii="Times New Roman" w:eastAsiaTheme="minorEastAsia" w:hAnsi="Times New Roman" w:cs="Times New Roman"/>
          <w:sz w:val="24"/>
          <w:szCs w:val="24"/>
        </w:rPr>
        <w:t>-dışı geometrilerin bulunması ile birlikte standart-dışı mantıklar ortaya çıkmış ve geometrinin güvenilir limanı dalgalanmıştır.</w:t>
      </w:r>
      <w:r w:rsidR="00CB3526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0D51359E" w14:textId="77777777" w:rsidR="005832E2" w:rsidRPr="001E2B02" w:rsidRDefault="00D246E3" w:rsidP="001E2B02">
      <w:pPr>
        <w:tabs>
          <w:tab w:val="left" w:pos="3285"/>
        </w:tabs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E2B02">
        <w:rPr>
          <w:rFonts w:ascii="Times New Roman" w:eastAsiaTheme="minorEastAsia" w:hAnsi="Times New Roman" w:cs="Times New Roman"/>
          <w:sz w:val="24"/>
          <w:szCs w:val="24"/>
        </w:rPr>
        <w:t>Aristoteles’in bilim anlayışının diğer bir yetersizliği ise deney yoluyla doğayı manipüle etmeye</w:t>
      </w:r>
      <w:r w:rsidR="00AE0595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E2B02">
        <w:rPr>
          <w:rFonts w:ascii="Times New Roman" w:eastAsiaTheme="minorEastAsia" w:hAnsi="Times New Roman" w:cs="Times New Roman"/>
          <w:sz w:val="24"/>
          <w:szCs w:val="24"/>
        </w:rPr>
        <w:t xml:space="preserve">gösterdiği ilgisizliktir. </w:t>
      </w:r>
    </w:p>
    <w:p w14:paraId="7F829DF9" w14:textId="77777777" w:rsidR="00CA2F78" w:rsidRPr="001E2B02" w:rsidRDefault="005832E2" w:rsidP="001E2B02">
      <w:pPr>
        <w:tabs>
          <w:tab w:val="left" w:pos="3285"/>
        </w:tabs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1E2B02">
        <w:rPr>
          <w:rFonts w:ascii="Times New Roman" w:eastAsiaTheme="minorEastAsia" w:hAnsi="Times New Roman" w:cs="Times New Roman"/>
          <w:sz w:val="24"/>
          <w:szCs w:val="24"/>
        </w:rPr>
        <w:t>Augustinus</w:t>
      </w:r>
      <w:proofErr w:type="spellEnd"/>
      <w:r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E2B02">
        <w:rPr>
          <w:rFonts w:ascii="Times New Roman" w:eastAsiaTheme="minorEastAsia" w:hAnsi="Times New Roman" w:cs="Times New Roman"/>
          <w:i/>
          <w:sz w:val="24"/>
          <w:szCs w:val="24"/>
        </w:rPr>
        <w:t>Principia</w:t>
      </w:r>
      <w:proofErr w:type="spellEnd"/>
      <w:r w:rsidRPr="001E2B02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proofErr w:type="spellStart"/>
      <w:r w:rsidRPr="001E2B02">
        <w:rPr>
          <w:rFonts w:ascii="Times New Roman" w:eastAsiaTheme="minorEastAsia" w:hAnsi="Times New Roman" w:cs="Times New Roman"/>
          <w:i/>
          <w:sz w:val="24"/>
          <w:szCs w:val="24"/>
        </w:rPr>
        <w:t>dialecticae</w:t>
      </w:r>
      <w:proofErr w:type="spellEnd"/>
      <w:r w:rsidRPr="001E2B02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r w:rsidRPr="001E2B02">
        <w:rPr>
          <w:rFonts w:ascii="Times New Roman" w:eastAsiaTheme="minorEastAsia" w:hAnsi="Times New Roman" w:cs="Times New Roman"/>
          <w:sz w:val="24"/>
          <w:szCs w:val="24"/>
        </w:rPr>
        <w:t>isimli mantık kitabıyla Aristoteles mantığının Ortaçağ boyunca Avrupa’da kullanılmasını sağlamıştır.</w:t>
      </w:r>
      <w:r w:rsidR="00523362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74D28" w:rsidRPr="001E2B02">
        <w:rPr>
          <w:rFonts w:ascii="Times New Roman" w:eastAsiaTheme="minorEastAsia" w:hAnsi="Times New Roman" w:cs="Times New Roman"/>
          <w:sz w:val="24"/>
          <w:szCs w:val="24"/>
        </w:rPr>
        <w:t>Geometri yerine Tanrı sözü gelmiştir ve Tanrı’nın ışığının zihinde şavkıması sonucunda bilgi oluşmuştur.</w:t>
      </w:r>
    </w:p>
    <w:p w14:paraId="50F366C5" w14:textId="77777777" w:rsidR="001E2B02" w:rsidRDefault="00CA2F78" w:rsidP="001E2B02">
      <w:pPr>
        <w:tabs>
          <w:tab w:val="left" w:pos="3285"/>
        </w:tabs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E2B02">
        <w:rPr>
          <w:rFonts w:ascii="Times New Roman" w:eastAsiaTheme="minorEastAsia" w:hAnsi="Times New Roman" w:cs="Times New Roman"/>
          <w:sz w:val="24"/>
          <w:szCs w:val="24"/>
        </w:rPr>
        <w:t>Ortaçağ</w:t>
      </w:r>
      <w:r w:rsidR="001E2B02">
        <w:rPr>
          <w:rFonts w:ascii="Times New Roman" w:eastAsiaTheme="minorEastAsia" w:hAnsi="Times New Roman" w:cs="Times New Roman"/>
          <w:sz w:val="24"/>
          <w:szCs w:val="24"/>
        </w:rPr>
        <w:t>da üniversiteler</w:t>
      </w:r>
      <w:r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XII. </w:t>
      </w:r>
      <w:r w:rsidR="001E2B02">
        <w:rPr>
          <w:rFonts w:ascii="Times New Roman" w:eastAsiaTheme="minorEastAsia" w:hAnsi="Times New Roman" w:cs="Times New Roman"/>
          <w:sz w:val="24"/>
          <w:szCs w:val="24"/>
        </w:rPr>
        <w:t>y</w:t>
      </w:r>
      <w:r w:rsidRPr="001E2B02">
        <w:rPr>
          <w:rFonts w:ascii="Times New Roman" w:eastAsiaTheme="minorEastAsia" w:hAnsi="Times New Roman" w:cs="Times New Roman"/>
          <w:sz w:val="24"/>
          <w:szCs w:val="24"/>
        </w:rPr>
        <w:t>üzyılın sonlarından itibaren görülmeye başla</w:t>
      </w:r>
      <w:r w:rsidR="001E2B02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1E2B02">
        <w:rPr>
          <w:rFonts w:ascii="Times New Roman" w:eastAsiaTheme="minorEastAsia" w:hAnsi="Times New Roman" w:cs="Times New Roman"/>
          <w:sz w:val="24"/>
          <w:szCs w:val="24"/>
        </w:rPr>
        <w:t>mıştır.</w:t>
      </w:r>
    </w:p>
    <w:p w14:paraId="24BA8396" w14:textId="77777777" w:rsidR="000968CE" w:rsidRDefault="000968CE" w:rsidP="001E2B02">
      <w:pPr>
        <w:tabs>
          <w:tab w:val="left" w:pos="3285"/>
        </w:tabs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Ortaçağ üniversitelerinde bilginler bilimsel yöntemin taşlarını daha doğru bir biçimde yerleştirmeye başlamışlardır. Bunlar şu şekilde sıralanabilir:</w:t>
      </w:r>
    </w:p>
    <w:p w14:paraId="2256DA2D" w14:textId="77777777" w:rsidR="000968CE" w:rsidRPr="00D93E99" w:rsidRDefault="000968CE" w:rsidP="000968CE">
      <w:pPr>
        <w:pStyle w:val="ListParagraph"/>
        <w:numPr>
          <w:ilvl w:val="0"/>
          <w:numId w:val="2"/>
        </w:numPr>
        <w:tabs>
          <w:tab w:val="left" w:pos="328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Deneysel Yöntem. (Robert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Grosseteste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Roger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Bacon)</w:t>
      </w:r>
    </w:p>
    <w:p w14:paraId="78FCAB2A" w14:textId="77777777" w:rsidR="00D93E99" w:rsidRDefault="00D93E99" w:rsidP="00D93E99">
      <w:pPr>
        <w:tabs>
          <w:tab w:val="left" w:pos="3285"/>
        </w:tabs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Roger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Bacon’ın deneysel yönteminin üç bileşeni vardır. Bunlar:</w:t>
      </w:r>
    </w:p>
    <w:p w14:paraId="103F5AA7" w14:textId="77777777" w:rsidR="00D93E99" w:rsidRDefault="00D93E99" w:rsidP="00D93E99">
      <w:pPr>
        <w:pStyle w:val="ListParagraph"/>
        <w:numPr>
          <w:ilvl w:val="0"/>
          <w:numId w:val="3"/>
        </w:numPr>
        <w:tabs>
          <w:tab w:val="left" w:pos="328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Tümevarımcı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yöntemle ulaşılan bilgilerin deneyle sınamaya tabi tutulması.</w:t>
      </w:r>
    </w:p>
    <w:p w14:paraId="69857DD3" w14:textId="77777777" w:rsidR="00D93E99" w:rsidRDefault="00D93E99" w:rsidP="00D93E99">
      <w:pPr>
        <w:pStyle w:val="ListParagraph"/>
        <w:numPr>
          <w:ilvl w:val="0"/>
          <w:numId w:val="3"/>
        </w:numPr>
        <w:tabs>
          <w:tab w:val="left" w:pos="328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Deneysel olguların başlangıçtaki </w:t>
      </w:r>
      <w:proofErr w:type="spellStart"/>
      <w:r>
        <w:rPr>
          <w:rFonts w:ascii="Times New Roman" w:hAnsi="Times New Roman" w:cs="Times New Roman"/>
          <w:sz w:val="24"/>
          <w:szCs w:val="24"/>
        </w:rPr>
        <w:t>önvarsayımların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karşısında öncelik sahibi olması.</w:t>
      </w:r>
    </w:p>
    <w:p w14:paraId="4138FA98" w14:textId="77777777" w:rsidR="00D93E99" w:rsidRPr="00D93E99" w:rsidRDefault="00D93E99" w:rsidP="00D93E99">
      <w:pPr>
        <w:pStyle w:val="ListParagraph"/>
        <w:numPr>
          <w:ilvl w:val="0"/>
          <w:numId w:val="3"/>
        </w:numPr>
        <w:tabs>
          <w:tab w:val="left" w:pos="328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Bilimsel araştırma, birçoğu pratik değer taşıyan yepyeni problemlere varıncaya kadar genişletilebilmesi. </w:t>
      </w:r>
    </w:p>
    <w:p w14:paraId="41F2651F" w14:textId="77777777" w:rsidR="000968CE" w:rsidRPr="000968CE" w:rsidRDefault="000968CE" w:rsidP="000968CE">
      <w:pPr>
        <w:pStyle w:val="ListParagraph"/>
        <w:numPr>
          <w:ilvl w:val="0"/>
          <w:numId w:val="2"/>
        </w:numPr>
        <w:tabs>
          <w:tab w:val="left" w:pos="328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Güçlü Mantık.</w:t>
      </w:r>
    </w:p>
    <w:p w14:paraId="0B1E302E" w14:textId="77777777" w:rsidR="000968CE" w:rsidRPr="000968CE" w:rsidRDefault="000968CE" w:rsidP="000968CE">
      <w:pPr>
        <w:pStyle w:val="ListParagraph"/>
        <w:numPr>
          <w:ilvl w:val="0"/>
          <w:numId w:val="2"/>
        </w:numPr>
        <w:tabs>
          <w:tab w:val="left" w:pos="328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Kuram Seçimi. (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Ockhamlı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William)</w:t>
      </w:r>
    </w:p>
    <w:p w14:paraId="202B06FD" w14:textId="77777777" w:rsidR="000968CE" w:rsidRPr="000968CE" w:rsidRDefault="000968CE" w:rsidP="000968CE">
      <w:pPr>
        <w:pStyle w:val="ListParagraph"/>
        <w:numPr>
          <w:ilvl w:val="0"/>
          <w:numId w:val="2"/>
        </w:numPr>
        <w:tabs>
          <w:tab w:val="left" w:pos="328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Bilimin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Önvarsayımları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. (Büyük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Albertus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2DB7ED2E" w14:textId="77777777" w:rsidR="00D93E99" w:rsidRPr="00C4567E" w:rsidRDefault="00AA1F35" w:rsidP="000968CE">
      <w:pPr>
        <w:pStyle w:val="ListParagraph"/>
        <w:numPr>
          <w:ilvl w:val="0"/>
          <w:numId w:val="2"/>
        </w:numPr>
        <w:tabs>
          <w:tab w:val="left" w:pos="328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Bilimsel Doğru.</w:t>
      </w:r>
    </w:p>
    <w:p w14:paraId="0412CC51" w14:textId="77777777" w:rsidR="00C4567E" w:rsidRPr="00C4567E" w:rsidRDefault="00C4567E" w:rsidP="00C4567E">
      <w:pPr>
        <w:tabs>
          <w:tab w:val="left" w:pos="3285"/>
        </w:tabs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034E14B" w14:textId="77777777" w:rsidR="00C97D95" w:rsidRPr="00D93E99" w:rsidRDefault="00CA2F78" w:rsidP="00D93E99">
      <w:pPr>
        <w:tabs>
          <w:tab w:val="left" w:pos="328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E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832E2" w:rsidRPr="00D93E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E0595" w:rsidRPr="00D93E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97D95" w:rsidRPr="00D93E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sectPr w:rsidR="00C97D95" w:rsidRPr="00D93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ゴシック Light">
    <w:panose1 w:val="00000000000000000000"/>
    <w:charset w:val="80"/>
    <w:family w:val="roman"/>
    <w:notTrueType/>
    <w:pitch w:val="default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A5AC9"/>
    <w:multiLevelType w:val="hybridMultilevel"/>
    <w:tmpl w:val="BA92EBB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2061D7"/>
    <w:multiLevelType w:val="hybridMultilevel"/>
    <w:tmpl w:val="BC56E51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CF7D54"/>
    <w:multiLevelType w:val="hybridMultilevel"/>
    <w:tmpl w:val="CB18E408"/>
    <w:lvl w:ilvl="0" w:tplc="1236F3E8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84"/>
    <w:rsid w:val="00042A7C"/>
    <w:rsid w:val="0007345E"/>
    <w:rsid w:val="000968CE"/>
    <w:rsid w:val="001043EB"/>
    <w:rsid w:val="0014253E"/>
    <w:rsid w:val="001B7B7D"/>
    <w:rsid w:val="001E2B02"/>
    <w:rsid w:val="002D17CA"/>
    <w:rsid w:val="00474D28"/>
    <w:rsid w:val="004C2BB0"/>
    <w:rsid w:val="00523362"/>
    <w:rsid w:val="005832E2"/>
    <w:rsid w:val="00670C0F"/>
    <w:rsid w:val="0072646C"/>
    <w:rsid w:val="00AA1F35"/>
    <w:rsid w:val="00AA7217"/>
    <w:rsid w:val="00AE0595"/>
    <w:rsid w:val="00C4567E"/>
    <w:rsid w:val="00C97D95"/>
    <w:rsid w:val="00CA2F78"/>
    <w:rsid w:val="00CB3526"/>
    <w:rsid w:val="00CF72AC"/>
    <w:rsid w:val="00D12290"/>
    <w:rsid w:val="00D246E3"/>
    <w:rsid w:val="00D63937"/>
    <w:rsid w:val="00D93E99"/>
    <w:rsid w:val="00DB3AFE"/>
    <w:rsid w:val="00EB7905"/>
    <w:rsid w:val="00F370CA"/>
    <w:rsid w:val="00FD2184"/>
    <w:rsid w:val="00FE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C03DA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7D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7D9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97D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C97D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646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46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7D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7D9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97D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C97D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646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46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2194</TotalTime>
  <Pages>3</Pages>
  <Words>458</Words>
  <Characters>2614</Characters>
  <Application>Microsoft Macintosh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Vural</dc:creator>
  <cp:keywords/>
  <dc:description/>
  <cp:lastModifiedBy>f k</cp:lastModifiedBy>
  <cp:revision>3</cp:revision>
  <dcterms:created xsi:type="dcterms:W3CDTF">2018-03-15T12:59:00Z</dcterms:created>
  <dcterms:modified xsi:type="dcterms:W3CDTF">2020-04-30T10:36:00Z</dcterms:modified>
</cp:coreProperties>
</file>