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302" w:rsidRDefault="000C7302" w:rsidP="000C7302">
      <w:pPr>
        <w:spacing w:line="20" w:lineRule="atLeast"/>
        <w:jc w:val="both"/>
        <w:rPr>
          <w:rFonts w:ascii="Times New Roman" w:hAnsi="Times New Roman"/>
          <w:b/>
          <w:sz w:val="24"/>
          <w:szCs w:val="24"/>
        </w:rPr>
      </w:pPr>
      <w:r>
        <w:rPr>
          <w:rFonts w:ascii="Times New Roman" w:hAnsi="Times New Roman"/>
          <w:b/>
          <w:sz w:val="24"/>
          <w:szCs w:val="24"/>
        </w:rPr>
        <w:t>LA DEFINITION DES MOTS</w:t>
      </w:r>
    </w:p>
    <w:p w:rsidR="000C7302" w:rsidRDefault="000C7302" w:rsidP="000C7302">
      <w:pPr>
        <w:spacing w:line="20" w:lineRule="atLeast"/>
        <w:jc w:val="both"/>
        <w:rPr>
          <w:rFonts w:ascii="Times New Roman" w:hAnsi="Times New Roman"/>
          <w:b/>
          <w:sz w:val="24"/>
          <w:szCs w:val="24"/>
        </w:rPr>
      </w:pP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En lettres: </w:t>
      </w:r>
      <w:r>
        <w:rPr>
          <w:rFonts w:ascii="Times New Roman" w:hAnsi="Times New Roman"/>
          <w:sz w:val="24"/>
          <w:szCs w:val="24"/>
        </w:rPr>
        <w:t>Littérature.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Honnête savoir: </w:t>
      </w:r>
      <w:r>
        <w:rPr>
          <w:rFonts w:ascii="Times New Roman" w:hAnsi="Times New Roman"/>
          <w:sz w:val="24"/>
          <w:szCs w:val="24"/>
        </w:rPr>
        <w:t>Science.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Frotter: </w:t>
      </w:r>
      <w:r>
        <w:rPr>
          <w:rFonts w:ascii="Times New Roman" w:hAnsi="Times New Roman"/>
          <w:sz w:val="24"/>
          <w:szCs w:val="24"/>
        </w:rPr>
        <w:t>Passer à plusieurs reprises, et en appuyant un corps sur un autre.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Divine Ecriture: </w:t>
      </w:r>
      <w:r>
        <w:rPr>
          <w:rFonts w:ascii="Times New Roman" w:hAnsi="Times New Roman"/>
          <w:sz w:val="24"/>
          <w:szCs w:val="24"/>
        </w:rPr>
        <w:t>La Bible.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Un page: </w:t>
      </w:r>
      <w:r>
        <w:rPr>
          <w:rFonts w:ascii="Times New Roman" w:hAnsi="Times New Roman"/>
          <w:sz w:val="24"/>
          <w:szCs w:val="24"/>
        </w:rPr>
        <w:t>Jeune noble au service d’un seigneur.</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Anagnostes: </w:t>
      </w:r>
      <w:r>
        <w:rPr>
          <w:rFonts w:ascii="Times New Roman" w:hAnsi="Times New Roman"/>
          <w:sz w:val="24"/>
          <w:szCs w:val="24"/>
        </w:rPr>
        <w:t>Lecteur.</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Révérer: </w:t>
      </w:r>
      <w:r>
        <w:rPr>
          <w:rFonts w:ascii="Times New Roman" w:hAnsi="Times New Roman"/>
          <w:sz w:val="24"/>
          <w:szCs w:val="24"/>
        </w:rPr>
        <w:t>Honorer, traiter avec un profond respect.</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Supplier: </w:t>
      </w:r>
      <w:r>
        <w:rPr>
          <w:rFonts w:ascii="Times New Roman" w:hAnsi="Times New Roman"/>
          <w:sz w:val="24"/>
          <w:szCs w:val="24"/>
        </w:rPr>
        <w:t>Prier avec humilité.</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Icelle: </w:t>
      </w:r>
      <w:r>
        <w:rPr>
          <w:rFonts w:ascii="Times New Roman" w:hAnsi="Times New Roman"/>
          <w:sz w:val="24"/>
          <w:szCs w:val="24"/>
        </w:rPr>
        <w:t>cette.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Accoutrer: </w:t>
      </w:r>
      <w:r>
        <w:rPr>
          <w:rFonts w:ascii="Times New Roman" w:hAnsi="Times New Roman"/>
          <w:sz w:val="24"/>
          <w:szCs w:val="24"/>
        </w:rPr>
        <w:t>habiller.</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Etendre: </w:t>
      </w:r>
      <w:r>
        <w:rPr>
          <w:rFonts w:ascii="Times New Roman" w:hAnsi="Times New Roman"/>
          <w:sz w:val="24"/>
          <w:szCs w:val="24"/>
        </w:rPr>
        <w:t>Durer.</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Aucunes fois: </w:t>
      </w:r>
      <w:r>
        <w:rPr>
          <w:rFonts w:ascii="Times New Roman" w:hAnsi="Times New Roman"/>
          <w:sz w:val="24"/>
          <w:szCs w:val="24"/>
        </w:rPr>
        <w:t>Quelquefois.</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Conférer: </w:t>
      </w:r>
      <w:r>
        <w:rPr>
          <w:rFonts w:ascii="Times New Roman" w:hAnsi="Times New Roman"/>
          <w:sz w:val="24"/>
          <w:szCs w:val="24"/>
        </w:rPr>
        <w:t>comparer.</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Es près: </w:t>
      </w:r>
      <w:r>
        <w:rPr>
          <w:rFonts w:ascii="Times New Roman" w:hAnsi="Times New Roman"/>
          <w:sz w:val="24"/>
          <w:szCs w:val="24"/>
        </w:rPr>
        <w:t xml:space="preserve">Dans les </w:t>
      </w:r>
      <w:proofErr w:type="gramStart"/>
      <w:r>
        <w:rPr>
          <w:rFonts w:ascii="Times New Roman" w:hAnsi="Times New Roman"/>
          <w:sz w:val="24"/>
          <w:szCs w:val="24"/>
        </w:rPr>
        <w:t>pres</w:t>
      </w:r>
      <w:proofErr w:type="gramEnd"/>
      <w:r>
        <w:rPr>
          <w:rFonts w:ascii="Times New Roman" w:hAnsi="Times New Roman"/>
          <w:sz w:val="24"/>
          <w:szCs w:val="24"/>
        </w:rPr>
        <w:t>.</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paume: </w:t>
      </w:r>
      <w:r>
        <w:rPr>
          <w:rFonts w:ascii="Times New Roman" w:hAnsi="Times New Roman"/>
          <w:sz w:val="24"/>
          <w:szCs w:val="24"/>
        </w:rPr>
        <w:t>Jeu où l’on renvoie une balle à l’aide d’une raquette.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Suer: </w:t>
      </w:r>
      <w:r>
        <w:rPr>
          <w:rFonts w:ascii="Times New Roman" w:hAnsi="Times New Roman"/>
          <w:sz w:val="24"/>
          <w:szCs w:val="24"/>
        </w:rPr>
        <w:t>Emettre de la sueur par les pores.</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Eloquentement: </w:t>
      </w:r>
      <w:r>
        <w:rPr>
          <w:rFonts w:ascii="Times New Roman" w:hAnsi="Times New Roman"/>
          <w:sz w:val="24"/>
          <w:szCs w:val="24"/>
        </w:rPr>
        <w:t>Art de bien dire.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prouesse: </w:t>
      </w:r>
      <w:r>
        <w:rPr>
          <w:rFonts w:ascii="Times New Roman" w:hAnsi="Times New Roman"/>
          <w:sz w:val="24"/>
          <w:szCs w:val="24"/>
        </w:rPr>
        <w:t>Action de courage.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Deviser: </w:t>
      </w:r>
      <w:r>
        <w:rPr>
          <w:rFonts w:ascii="Times New Roman" w:hAnsi="Times New Roman"/>
          <w:sz w:val="24"/>
          <w:szCs w:val="24"/>
        </w:rPr>
        <w:t>Bavarder.</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L’apprêt: </w:t>
      </w:r>
      <w:r>
        <w:rPr>
          <w:rFonts w:ascii="Times New Roman" w:hAnsi="Times New Roman"/>
          <w:sz w:val="24"/>
          <w:szCs w:val="24"/>
        </w:rPr>
        <w:t>la préparation.</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Icelles: </w:t>
      </w:r>
      <w:r>
        <w:rPr>
          <w:rFonts w:ascii="Times New Roman" w:hAnsi="Times New Roman"/>
          <w:sz w:val="24"/>
          <w:szCs w:val="24"/>
        </w:rPr>
        <w:t>ceux-ci.</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Parachever: </w:t>
      </w:r>
      <w:r>
        <w:rPr>
          <w:rFonts w:ascii="Times New Roman" w:hAnsi="Times New Roman"/>
          <w:sz w:val="24"/>
          <w:szCs w:val="24"/>
        </w:rPr>
        <w:t xml:space="preserve">Finir parfaitement. </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confection: </w:t>
      </w:r>
      <w:r>
        <w:rPr>
          <w:rFonts w:ascii="Times New Roman" w:hAnsi="Times New Roman"/>
          <w:sz w:val="24"/>
          <w:szCs w:val="24"/>
        </w:rPr>
        <w:t>confiture.</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Cotoniat: </w:t>
      </w:r>
      <w:r>
        <w:rPr>
          <w:rFonts w:ascii="Times New Roman" w:hAnsi="Times New Roman"/>
          <w:sz w:val="24"/>
          <w:szCs w:val="24"/>
        </w:rPr>
        <w:t>le coing.</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munificence: </w:t>
      </w:r>
      <w:r>
        <w:rPr>
          <w:rFonts w:ascii="Times New Roman" w:hAnsi="Times New Roman"/>
          <w:sz w:val="24"/>
          <w:szCs w:val="24"/>
        </w:rPr>
        <w:t>Disposition qui porte à faire des libéralités.</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bénignité: </w:t>
      </w:r>
      <w:r>
        <w:rPr>
          <w:rFonts w:ascii="Times New Roman" w:hAnsi="Times New Roman"/>
          <w:sz w:val="24"/>
          <w:szCs w:val="24"/>
        </w:rPr>
        <w:t>Indulgence, douceur.</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Le past: </w:t>
      </w:r>
      <w:r>
        <w:rPr>
          <w:rFonts w:ascii="Times New Roman" w:hAnsi="Times New Roman"/>
          <w:sz w:val="24"/>
          <w:szCs w:val="24"/>
        </w:rPr>
        <w:t>Repas.</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épinette: </w:t>
      </w:r>
      <w:r>
        <w:rPr>
          <w:rFonts w:ascii="Times New Roman" w:hAnsi="Times New Roman"/>
          <w:sz w:val="24"/>
          <w:szCs w:val="24"/>
        </w:rPr>
        <w:t>Petit clavecin.</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viole: </w:t>
      </w:r>
      <w:r>
        <w:rPr>
          <w:rFonts w:ascii="Times New Roman" w:hAnsi="Times New Roman"/>
          <w:sz w:val="24"/>
          <w:szCs w:val="24"/>
        </w:rPr>
        <w:t>Grand violon.</w:t>
      </w: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 xml:space="preserve">La sacque butte: </w:t>
      </w:r>
      <w:r>
        <w:rPr>
          <w:rFonts w:ascii="Times New Roman" w:hAnsi="Times New Roman"/>
          <w:sz w:val="24"/>
          <w:szCs w:val="24"/>
        </w:rPr>
        <w:t>Le trombone, instrument à vent.</w:t>
      </w: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LE RESUME DU TEXTE VIII</w:t>
      </w:r>
    </w:p>
    <w:p w:rsidR="000C7302" w:rsidRDefault="000C7302" w:rsidP="000C7302">
      <w:pPr>
        <w:spacing w:line="20" w:lineRule="atLeast"/>
        <w:jc w:val="both"/>
        <w:rPr>
          <w:rFonts w:ascii="Times New Roman" w:hAnsi="Times New Roman"/>
          <w:b/>
          <w:sz w:val="24"/>
          <w:szCs w:val="24"/>
        </w:rPr>
      </w:pPr>
      <w:r>
        <w:rPr>
          <w:rFonts w:ascii="Times New Roman" w:hAnsi="Times New Roman"/>
          <w:b/>
          <w:sz w:val="24"/>
          <w:szCs w:val="24"/>
        </w:rPr>
        <w:t xml:space="preserve">                                               L’EDUCATION IDEALE</w:t>
      </w:r>
    </w:p>
    <w:p w:rsidR="000C7302" w:rsidRDefault="000C7302" w:rsidP="000C7302">
      <w:pPr>
        <w:spacing w:line="20" w:lineRule="atLeast"/>
        <w:jc w:val="both"/>
        <w:rPr>
          <w:rFonts w:ascii="Times New Roman" w:hAnsi="Times New Roman"/>
          <w:b/>
          <w:sz w:val="24"/>
          <w:szCs w:val="24"/>
        </w:rPr>
      </w:pPr>
    </w:p>
    <w:p w:rsidR="000C7302" w:rsidRDefault="000C7302" w:rsidP="000C7302">
      <w:pPr>
        <w:spacing w:line="20" w:lineRule="atLeast"/>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Les idées de Rabelais en matière d’éducation sont appliquées dans celle de Gargantua que diriğe le maître Ponocrates. Il donne de l’importance à la nécessité de la culture physique et de la formation de l’esprit scientifique. Gargantua, créé comme un type vivant, principal héros de l’histoire fantastique d’une famille de géants, possède toutes les caractéristiques d’un homme de renaissance. Il faut qu’il apprenne toute l’antiquité et toutes les sciences pour qu’il puisse devenir un modele ideal de sa famille royale. Pendant cette éducation, il est important d’assurer à la fois la formation du goût et la formation morale et religieuse. Même le sport et les jeux contribuent à la rapidité de la compréhension et au développement du jugement. Tout est organisé </w:t>
      </w:r>
      <w:proofErr w:type="gramStart"/>
      <w:r>
        <w:rPr>
          <w:rFonts w:ascii="Times New Roman" w:hAnsi="Times New Roman"/>
          <w:sz w:val="24"/>
          <w:szCs w:val="24"/>
        </w:rPr>
        <w:t>afin</w:t>
      </w:r>
      <w:proofErr w:type="gramEnd"/>
      <w:r>
        <w:rPr>
          <w:rFonts w:ascii="Times New Roman" w:hAnsi="Times New Roman"/>
          <w:sz w:val="24"/>
          <w:szCs w:val="24"/>
        </w:rPr>
        <w:t xml:space="preserve"> que Gargantua se rende compte de sa propre force physique ou spirituelle. Durant le déjeuner aussi, Gargantua présente son point de vue sur la nature de tout ce qui est servie à table: tous les aliments, toutes les boissons sont passés en revue pour discuter leurs propriétés. Le principe de l’éducation, c’est qu’il faut suivre la nature en donnant au corps et à l’esprit ce qu’ils réclament. Il faut boire du bon vin et de la bonne science, et se moquer de tout le reste sous la lumière de la philosophie épicurienne.</w:t>
      </w: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0C7302" w:rsidRDefault="000C7302" w:rsidP="000C7302">
      <w:pPr>
        <w:spacing w:line="20" w:lineRule="atLeast"/>
        <w:jc w:val="both"/>
        <w:rPr>
          <w:rFonts w:ascii="Times New Roman" w:hAnsi="Times New Roman"/>
          <w:sz w:val="24"/>
          <w:szCs w:val="24"/>
        </w:rPr>
      </w:pPr>
    </w:p>
    <w:p w:rsidR="008D5D46" w:rsidRDefault="008D5D46">
      <w:bookmarkStart w:id="0" w:name="_GoBack"/>
      <w:bookmarkEnd w:id="0"/>
    </w:p>
    <w:sectPr w:rsidR="008D5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F5466"/>
    <w:multiLevelType w:val="hybridMultilevel"/>
    <w:tmpl w:val="CAB058D2"/>
    <w:lvl w:ilvl="0" w:tplc="EC98332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02"/>
    <w:rsid w:val="000C7302"/>
    <w:rsid w:val="008D5D4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F37F"/>
  <w15:chartTrackingRefBased/>
  <w15:docId w15:val="{7149A880-6FC6-4923-9A4A-E25257DE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302"/>
    <w:pPr>
      <w:spacing w:line="254"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7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4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2020-05-06T08:28:00Z</dcterms:created>
  <dcterms:modified xsi:type="dcterms:W3CDTF">2020-05-06T08:29:00Z</dcterms:modified>
</cp:coreProperties>
</file>