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r>
        <w:rPr>
          <w:rFonts w:ascii="Times New Roman" w:hAnsi="Times New Roman"/>
          <w:sz w:val="24"/>
          <w:szCs w:val="24"/>
        </w:rPr>
        <w:t xml:space="preserve">                                              </w:t>
      </w:r>
    </w:p>
    <w:p w:rsidR="00E3347B" w:rsidRDefault="00E3347B" w:rsidP="00E3347B">
      <w:pPr>
        <w:spacing w:line="20" w:lineRule="atLeast"/>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LA DEFINITION DES MOTS</w:t>
      </w:r>
    </w:p>
    <w:p w:rsidR="00E3347B" w:rsidRDefault="00E3347B" w:rsidP="00E3347B">
      <w:pPr>
        <w:spacing w:line="20" w:lineRule="atLeast"/>
        <w:jc w:val="both"/>
        <w:rPr>
          <w:rFonts w:ascii="Times New Roman" w:hAnsi="Times New Roman"/>
          <w:b/>
          <w:sz w:val="24"/>
          <w:szCs w:val="24"/>
        </w:rPr>
      </w:pP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L’évidence: </w:t>
      </w:r>
      <w:r>
        <w:rPr>
          <w:rFonts w:ascii="Times New Roman" w:hAnsi="Times New Roman"/>
          <w:sz w:val="24"/>
          <w:szCs w:val="24"/>
        </w:rPr>
        <w:t>Caractère de ce qui est évident, clair, manifeste.</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La cueillette: </w:t>
      </w:r>
      <w:r>
        <w:rPr>
          <w:rFonts w:ascii="Times New Roman" w:hAnsi="Times New Roman"/>
          <w:sz w:val="24"/>
          <w:szCs w:val="24"/>
        </w:rPr>
        <w:t>Récolte des fruits.</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L’élevage: </w:t>
      </w:r>
      <w:r>
        <w:rPr>
          <w:rFonts w:ascii="Times New Roman" w:hAnsi="Times New Roman"/>
          <w:sz w:val="24"/>
          <w:szCs w:val="24"/>
        </w:rPr>
        <w:t>Action d’élever les animaux destinés aux usages de l’homme.</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L’exploitation: </w:t>
      </w:r>
      <w:r>
        <w:rPr>
          <w:rFonts w:ascii="Times New Roman" w:hAnsi="Times New Roman"/>
          <w:sz w:val="24"/>
          <w:szCs w:val="24"/>
        </w:rPr>
        <w:t>Utilisation, action de mettre en valeur.</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L’ingéniosité: </w:t>
      </w:r>
      <w:r>
        <w:rPr>
          <w:rFonts w:ascii="Times New Roman" w:hAnsi="Times New Roman"/>
          <w:sz w:val="24"/>
          <w:szCs w:val="24"/>
        </w:rPr>
        <w:t>Habileté.</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Accueillant: </w:t>
      </w:r>
      <w:r>
        <w:rPr>
          <w:rFonts w:ascii="Times New Roman" w:hAnsi="Times New Roman"/>
          <w:sz w:val="24"/>
          <w:szCs w:val="24"/>
        </w:rPr>
        <w:t>Façon de recevoir quelqu’un bien ou mal.</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Le débordement: </w:t>
      </w:r>
      <w:r>
        <w:rPr>
          <w:rFonts w:ascii="Times New Roman" w:hAnsi="Times New Roman"/>
          <w:sz w:val="24"/>
          <w:szCs w:val="24"/>
        </w:rPr>
        <w:t>Déversement des eaux d’un fleuve par-dessus ses bords.</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Déchainé: </w:t>
      </w:r>
      <w:r>
        <w:rPr>
          <w:rFonts w:ascii="Times New Roman" w:hAnsi="Times New Roman"/>
          <w:sz w:val="24"/>
          <w:szCs w:val="24"/>
        </w:rPr>
        <w:t xml:space="preserve">Donner libre cours </w:t>
      </w:r>
      <w:proofErr w:type="gramStart"/>
      <w:r>
        <w:rPr>
          <w:rFonts w:ascii="Times New Roman" w:hAnsi="Times New Roman"/>
          <w:sz w:val="24"/>
          <w:szCs w:val="24"/>
        </w:rPr>
        <w:t>à ; faire</w:t>
      </w:r>
      <w:proofErr w:type="gramEnd"/>
      <w:r>
        <w:rPr>
          <w:rFonts w:ascii="Times New Roman" w:hAnsi="Times New Roman"/>
          <w:sz w:val="24"/>
          <w:szCs w:val="24"/>
        </w:rPr>
        <w:t xml:space="preserve"> rage en parlant des vents, de la tempête.</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Des raz de marée: </w:t>
      </w:r>
      <w:r>
        <w:rPr>
          <w:rFonts w:ascii="Times New Roman" w:hAnsi="Times New Roman"/>
          <w:sz w:val="24"/>
          <w:szCs w:val="24"/>
        </w:rPr>
        <w:t>Soulèvement soudain et puissant des eaux de la mer.</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L’emprise: </w:t>
      </w:r>
      <w:r>
        <w:rPr>
          <w:rFonts w:ascii="Times New Roman" w:hAnsi="Times New Roman"/>
          <w:sz w:val="24"/>
          <w:szCs w:val="24"/>
        </w:rPr>
        <w:t>Influence.</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Desserrer: </w:t>
      </w:r>
      <w:r>
        <w:rPr>
          <w:rFonts w:ascii="Times New Roman" w:hAnsi="Times New Roman"/>
          <w:sz w:val="24"/>
          <w:szCs w:val="24"/>
        </w:rPr>
        <w:t>Relâcher ce qui est serré.</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La griffe: </w:t>
      </w:r>
      <w:r>
        <w:rPr>
          <w:rFonts w:ascii="Times New Roman" w:hAnsi="Times New Roman"/>
          <w:sz w:val="24"/>
          <w:szCs w:val="24"/>
        </w:rPr>
        <w:t>Ongle pointu des carnassiers, des oiseaux de proie; domination injuste.</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Affronter: </w:t>
      </w:r>
      <w:r>
        <w:rPr>
          <w:rFonts w:ascii="Times New Roman" w:hAnsi="Times New Roman"/>
          <w:sz w:val="24"/>
          <w:szCs w:val="24"/>
        </w:rPr>
        <w:t>Faire face.</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Le verglas: </w:t>
      </w:r>
      <w:r>
        <w:rPr>
          <w:rFonts w:ascii="Times New Roman" w:hAnsi="Times New Roman"/>
          <w:sz w:val="24"/>
          <w:szCs w:val="24"/>
        </w:rPr>
        <w:t>Couche de glace mince et glissante sur le sol provenant de la congélation de l’eau.</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Gratter: </w:t>
      </w:r>
      <w:r>
        <w:rPr>
          <w:rFonts w:ascii="Times New Roman" w:hAnsi="Times New Roman"/>
          <w:sz w:val="24"/>
          <w:szCs w:val="24"/>
        </w:rPr>
        <w:t>Racler avec les ongles, effacer au grattoir.</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Le givre: </w:t>
      </w:r>
      <w:r>
        <w:rPr>
          <w:rFonts w:ascii="Times New Roman" w:hAnsi="Times New Roman"/>
          <w:sz w:val="24"/>
          <w:szCs w:val="24"/>
        </w:rPr>
        <w:t>Couche de glace qui s’attache aux arbres.</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Paradoxal: </w:t>
      </w:r>
      <w:r>
        <w:rPr>
          <w:rFonts w:ascii="Times New Roman" w:hAnsi="Times New Roman"/>
          <w:sz w:val="24"/>
          <w:szCs w:val="24"/>
        </w:rPr>
        <w:t>Bizarre.</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Le cycle: </w:t>
      </w:r>
      <w:r>
        <w:rPr>
          <w:rFonts w:ascii="Times New Roman" w:hAnsi="Times New Roman"/>
          <w:sz w:val="24"/>
          <w:szCs w:val="24"/>
        </w:rPr>
        <w:t>Série de phénomènes qui se poursuivent dans un ordre déterminé.</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Le détraquement: </w:t>
      </w:r>
      <w:r>
        <w:rPr>
          <w:rFonts w:ascii="Times New Roman" w:hAnsi="Times New Roman"/>
          <w:sz w:val="24"/>
          <w:szCs w:val="24"/>
        </w:rPr>
        <w:t>Déranger le mécanisme.</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L’infarctus: </w:t>
      </w:r>
      <w:r>
        <w:rPr>
          <w:rFonts w:ascii="Times New Roman" w:hAnsi="Times New Roman"/>
          <w:sz w:val="24"/>
          <w:szCs w:val="24"/>
        </w:rPr>
        <w:t>Altération d’un tissu, d’un organ par obstruction de l’artère qui assure son irrigation.</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Chaume: </w:t>
      </w:r>
      <w:r>
        <w:rPr>
          <w:rFonts w:ascii="Times New Roman" w:hAnsi="Times New Roman"/>
          <w:sz w:val="24"/>
          <w:szCs w:val="24"/>
        </w:rPr>
        <w:t>Paille longue qui sert à faire des toitures.</w:t>
      </w: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 xml:space="preserve">Le plaidoyer: </w:t>
      </w:r>
      <w:r>
        <w:rPr>
          <w:rFonts w:ascii="Times New Roman" w:hAnsi="Times New Roman"/>
          <w:sz w:val="24"/>
          <w:szCs w:val="24"/>
        </w:rPr>
        <w:t>La défense passionnée des droits de quelqu’un.</w:t>
      </w: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LE RESUME DU TEXTE IX</w:t>
      </w:r>
    </w:p>
    <w:p w:rsidR="00E3347B" w:rsidRDefault="00E3347B" w:rsidP="00E3347B">
      <w:pPr>
        <w:spacing w:line="20" w:lineRule="atLeast"/>
        <w:jc w:val="both"/>
        <w:rPr>
          <w:rFonts w:ascii="Times New Roman" w:hAnsi="Times New Roman"/>
          <w:b/>
          <w:sz w:val="24"/>
          <w:szCs w:val="24"/>
        </w:rPr>
      </w:pPr>
      <w:r>
        <w:rPr>
          <w:rFonts w:ascii="Times New Roman" w:hAnsi="Times New Roman"/>
          <w:b/>
          <w:sz w:val="24"/>
          <w:szCs w:val="24"/>
        </w:rPr>
        <w:t xml:space="preserve">                                                PLAIDOYER POUR LA VILLE</w:t>
      </w:r>
    </w:p>
    <w:p w:rsidR="00E3347B" w:rsidRDefault="00E3347B" w:rsidP="00E3347B">
      <w:pPr>
        <w:spacing w:line="20" w:lineRule="atLeast"/>
        <w:jc w:val="both"/>
        <w:rPr>
          <w:rFonts w:ascii="Times New Roman" w:hAnsi="Times New Roman"/>
          <w:b/>
          <w:sz w:val="24"/>
          <w:szCs w:val="24"/>
        </w:rPr>
      </w:pPr>
    </w:p>
    <w:p w:rsidR="00E3347B" w:rsidRDefault="00E3347B" w:rsidP="00E3347B">
      <w:pPr>
        <w:spacing w:line="20" w:lineRule="atLeast"/>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Comme d’habitude, la nature est considérée comme une mère qui a la seule tâche d’alimenter ses enfants. Mais en vérité, c’est l’être humain qui lui donne cette caractéristique féconde. Grâce à l’habileté des paysans, on peut profiter des richesses naturelles de l’agriculture et de l’élevage. </w:t>
      </w:r>
      <w:proofErr w:type="gramStart"/>
      <w:r>
        <w:rPr>
          <w:rFonts w:ascii="Times New Roman" w:hAnsi="Times New Roman"/>
          <w:sz w:val="24"/>
          <w:szCs w:val="24"/>
        </w:rPr>
        <w:t xml:space="preserve">Selon les touristes, la nature leur paraît comme une force bien accueillante, mais si l’on prend en considération le soulèvement soudain et puissant des eaux de la mer, la violence des vents, l’éruption de la lave d’un volcan en activité, nous savons que nous sommes face à face avec sa puissance destructrice. </w:t>
      </w:r>
      <w:proofErr w:type="gramEnd"/>
      <w:r>
        <w:rPr>
          <w:rFonts w:ascii="Times New Roman" w:hAnsi="Times New Roman"/>
          <w:sz w:val="24"/>
          <w:szCs w:val="24"/>
        </w:rPr>
        <w:t>La nature menace toujours l’homme d’aggraver les conditions de vie soit à la période préhistorique ou au XXème siècle. Tant que les hommes s’éloignent du centre de la ville, il est possible de subir l’influence ordinaire de la nature hostile. Même un habitant de la banlieue est écrasé plus qu’un citadin sous le fardeau de ce pouvoir dominateur. Mais quand même dans l’esprir du citadin passionné pour la philosophie de Rousseau, le mode de vie rural est sain, reposant; il annonce la bonne nouvelle d’une longue vie. Mais il y a une grande contradiction, il faut se demander pourquoi les hommes ont éprouvé le besoin de construire de grandes villes, c’est pour se protéger de l’influence néfaste de la nature. Pour bien comprendre l’essence de ce texte, il faut bien préciser ces malentendus intellectuels qui dominent le comportement du citadin: “la nature est accueillante, la ville est inhumaine, le mode de vie rural est sain.”</w:t>
      </w: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E3347B" w:rsidRDefault="00E3347B" w:rsidP="00E3347B">
      <w:pPr>
        <w:spacing w:line="20" w:lineRule="atLeast"/>
        <w:jc w:val="both"/>
        <w:rPr>
          <w:rFonts w:ascii="Times New Roman" w:hAnsi="Times New Roman"/>
          <w:sz w:val="24"/>
          <w:szCs w:val="24"/>
        </w:rPr>
      </w:pPr>
    </w:p>
    <w:p w:rsidR="009546BE" w:rsidRDefault="009546BE">
      <w:bookmarkStart w:id="0" w:name="_GoBack"/>
      <w:bookmarkEnd w:id="0"/>
    </w:p>
    <w:sectPr w:rsidR="00954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F5466"/>
    <w:multiLevelType w:val="hybridMultilevel"/>
    <w:tmpl w:val="CAB058D2"/>
    <w:lvl w:ilvl="0" w:tplc="EC983320">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7B"/>
    <w:rsid w:val="009546BE"/>
    <w:rsid w:val="00E3347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3710"/>
  <w15:chartTrackingRefBased/>
  <w15:docId w15:val="{D99B848A-3DF0-4A82-A50E-EA9D2F2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7B"/>
    <w:pPr>
      <w:spacing w:line="252"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33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6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2020-05-06T08:30:00Z</dcterms:created>
  <dcterms:modified xsi:type="dcterms:W3CDTF">2020-05-06T08:31:00Z</dcterms:modified>
</cp:coreProperties>
</file>