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>LA DEFINITION DES MOTS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Ras,raşe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Pays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découvert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b/>
          <w:sz w:val="24"/>
          <w:szCs w:val="24"/>
        </w:rPr>
        <w:t>pavé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Pierre </w:t>
      </w:r>
      <w:proofErr w:type="spellStart"/>
      <w:r>
        <w:rPr>
          <w:rFonts w:ascii="Times New Roman" w:hAnsi="Times New Roman"/>
          <w:sz w:val="24"/>
          <w:szCs w:val="24"/>
        </w:rPr>
        <w:t>dure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couvrir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rues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cours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betterave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plante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potagère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d’où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extrait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sucre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b/>
          <w:sz w:val="24"/>
          <w:szCs w:val="24"/>
        </w:rPr>
        <w:t>marais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Terrain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marécageux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terrain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humide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bourbeux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Grelotter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Trembler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froid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Amincir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Rendre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mince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Nouer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avec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noeud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Gourde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Rendu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raide</w:t>
      </w:r>
      <w:proofErr w:type="spellEnd"/>
      <w:r>
        <w:rPr>
          <w:rFonts w:ascii="Times New Roman" w:hAnsi="Times New Roman"/>
          <w:sz w:val="24"/>
          <w:szCs w:val="24"/>
        </w:rPr>
        <w:t xml:space="preserve"> par le </w:t>
      </w:r>
      <w:proofErr w:type="spellStart"/>
      <w:r>
        <w:rPr>
          <w:rFonts w:ascii="Times New Roman" w:hAnsi="Times New Roman"/>
          <w:sz w:val="24"/>
          <w:szCs w:val="24"/>
        </w:rPr>
        <w:t>froid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difficile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remuer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lanière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courroie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Ici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coup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vent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coup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fouet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brasier:</w:t>
      </w:r>
      <w:r>
        <w:rPr>
          <w:rFonts w:ascii="Times New Roman" w:hAnsi="Times New Roman"/>
          <w:sz w:val="24"/>
          <w:szCs w:val="24"/>
        </w:rPr>
        <w:t>Un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incandescent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de: </w:t>
      </w:r>
      <w:proofErr w:type="spellStart"/>
      <w:r>
        <w:rPr>
          <w:rFonts w:ascii="Times New Roman" w:hAnsi="Times New Roman"/>
          <w:sz w:val="24"/>
          <w:szCs w:val="24"/>
        </w:rPr>
        <w:t>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niveau</w:t>
      </w:r>
      <w:proofErr w:type="spellEnd"/>
      <w:r>
        <w:rPr>
          <w:rFonts w:ascii="Times New Roman" w:hAnsi="Times New Roman"/>
          <w:sz w:val="24"/>
          <w:szCs w:val="24"/>
        </w:rPr>
        <w:t xml:space="preserve"> de.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tas: </w:t>
      </w:r>
      <w:proofErr w:type="spellStart"/>
      <w:r>
        <w:rPr>
          <w:rFonts w:ascii="Times New Roman" w:hAnsi="Times New Roman"/>
          <w:sz w:val="24"/>
          <w:szCs w:val="24"/>
        </w:rPr>
        <w:t>Monceau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d’objets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cheminée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Conduit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fumée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s’élève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Encrassé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Couvert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crasse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très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lanterne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lampe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charpente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Assemblage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pièces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bois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ou</w:t>
      </w:r>
      <w:proofErr w:type="spellEnd"/>
      <w:r>
        <w:rPr>
          <w:rFonts w:ascii="Times New Roman" w:hAnsi="Times New Roman"/>
          <w:sz w:val="24"/>
          <w:szCs w:val="24"/>
        </w:rPr>
        <w:t xml:space="preserve"> de metal </w:t>
      </w: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soutenir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élever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constructions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b/>
          <w:sz w:val="24"/>
          <w:szCs w:val="24"/>
        </w:rPr>
        <w:t>tréteau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construction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servant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soutenir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Gigantesque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géant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colossal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(Le) </w:t>
      </w:r>
      <w:proofErr w:type="spellStart"/>
      <w:r>
        <w:rPr>
          <w:rFonts w:ascii="Times New Roman" w:hAnsi="Times New Roman"/>
          <w:b/>
          <w:sz w:val="24"/>
          <w:szCs w:val="24"/>
        </w:rPr>
        <w:t>échappement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Le gaz </w:t>
      </w:r>
      <w:proofErr w:type="spellStart"/>
      <w:r>
        <w:rPr>
          <w:rFonts w:ascii="Times New Roman" w:hAnsi="Times New Roman"/>
          <w:sz w:val="24"/>
          <w:szCs w:val="24"/>
        </w:rPr>
        <w:t>ou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vapeur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fosse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sz w:val="24"/>
          <w:szCs w:val="24"/>
        </w:rPr>
        <w:t>puits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d’une</w:t>
      </w:r>
      <w:proofErr w:type="spellEnd"/>
      <w:r>
        <w:rPr>
          <w:rFonts w:ascii="Times New Roman" w:hAnsi="Times New Roman"/>
          <w:sz w:val="24"/>
          <w:szCs w:val="24"/>
        </w:rPr>
        <w:t xml:space="preserve"> mine.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b/>
          <w:sz w:val="24"/>
          <w:szCs w:val="24"/>
        </w:rPr>
        <w:t>terri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Dans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monticule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déblais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scories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houille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Charbon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fossile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combustible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corbeille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Panier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d’osier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fonte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Action de </w:t>
      </w:r>
      <w:proofErr w:type="spellStart"/>
      <w:r>
        <w:rPr>
          <w:rFonts w:ascii="Times New Roman" w:hAnsi="Times New Roman"/>
          <w:sz w:val="24"/>
          <w:szCs w:val="24"/>
        </w:rPr>
        <w:t>fondre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Alliage</w:t>
      </w:r>
      <w:proofErr w:type="spellEnd"/>
      <w:r>
        <w:rPr>
          <w:rFonts w:ascii="Times New Roman" w:hAnsi="Times New Roman"/>
          <w:sz w:val="24"/>
          <w:szCs w:val="24"/>
        </w:rPr>
        <w:t xml:space="preserve"> de fer et de </w:t>
      </w:r>
      <w:proofErr w:type="spellStart"/>
      <w:r>
        <w:rPr>
          <w:rFonts w:ascii="Times New Roman" w:hAnsi="Times New Roman"/>
          <w:sz w:val="24"/>
          <w:szCs w:val="24"/>
        </w:rPr>
        <w:t>carbone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produit</w:t>
      </w:r>
      <w:proofErr w:type="spellEnd"/>
      <w:r>
        <w:rPr>
          <w:rFonts w:ascii="Times New Roman" w:hAnsi="Times New Roman"/>
          <w:sz w:val="24"/>
          <w:szCs w:val="24"/>
        </w:rPr>
        <w:t xml:space="preserve"> par le </w:t>
      </w:r>
      <w:proofErr w:type="spellStart"/>
      <w:r>
        <w:rPr>
          <w:rFonts w:ascii="Times New Roman" w:hAnsi="Times New Roman"/>
          <w:sz w:val="24"/>
          <w:szCs w:val="24"/>
        </w:rPr>
        <w:t>haut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fourneau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>LE RESUME DU TEXTE XII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GERMINAL</w:t>
      </w: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065F7" w:rsidRDefault="00E065F7" w:rsidP="00E065F7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commencement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l’auteur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plonge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lecteur</w:t>
      </w:r>
      <w:proofErr w:type="spellEnd"/>
      <w:r>
        <w:rPr>
          <w:rFonts w:ascii="Times New Roman" w:hAnsi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/>
          <w:sz w:val="24"/>
          <w:szCs w:val="24"/>
        </w:rPr>
        <w:t>nuit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noire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misère</w:t>
      </w:r>
      <w:proofErr w:type="spellEnd"/>
      <w:r>
        <w:rPr>
          <w:rFonts w:ascii="Times New Roman" w:hAnsi="Times New Roman"/>
          <w:sz w:val="24"/>
          <w:szCs w:val="24"/>
        </w:rPr>
        <w:t xml:space="preserve"> et le </w:t>
      </w:r>
      <w:proofErr w:type="spellStart"/>
      <w:r>
        <w:rPr>
          <w:rFonts w:ascii="Times New Roman" w:hAnsi="Times New Roman"/>
          <w:sz w:val="24"/>
          <w:szCs w:val="24"/>
        </w:rPr>
        <w:t>pessimisme</w:t>
      </w:r>
      <w:proofErr w:type="spellEnd"/>
      <w:r>
        <w:rPr>
          <w:rFonts w:ascii="Times New Roman" w:hAnsi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/>
          <w:sz w:val="24"/>
          <w:szCs w:val="24"/>
        </w:rPr>
        <w:t>romancier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tout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suite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entrer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scène</w:t>
      </w:r>
      <w:proofErr w:type="spellEnd"/>
      <w:r>
        <w:rPr>
          <w:rFonts w:ascii="Times New Roman" w:hAnsi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/>
          <w:sz w:val="24"/>
          <w:szCs w:val="24"/>
        </w:rPr>
        <w:t>personnage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principal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Il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présente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même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que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paysage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Il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reflète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étranger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/>
          <w:sz w:val="24"/>
          <w:szCs w:val="24"/>
        </w:rPr>
        <w:t>afin</w:t>
      </w:r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mieux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communiquer</w:t>
      </w:r>
      <w:proofErr w:type="spellEnd"/>
      <w:r>
        <w:rPr>
          <w:rFonts w:ascii="Times New Roman" w:hAnsi="Times New Roman"/>
          <w:sz w:val="24"/>
          <w:szCs w:val="24"/>
        </w:rPr>
        <w:t xml:space="preserve"> ses </w:t>
      </w:r>
      <w:proofErr w:type="spellStart"/>
      <w:r>
        <w:rPr>
          <w:rFonts w:ascii="Times New Roman" w:hAnsi="Times New Roman"/>
          <w:sz w:val="24"/>
          <w:szCs w:val="24"/>
        </w:rPr>
        <w:t>propres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observations</w:t>
      </w:r>
      <w:proofErr w:type="spellEnd"/>
      <w:r>
        <w:rPr>
          <w:rFonts w:ascii="Times New Roman" w:hAnsi="Times New Roman"/>
          <w:sz w:val="24"/>
          <w:szCs w:val="24"/>
        </w:rPr>
        <w:t xml:space="preserve">, ses </w:t>
      </w:r>
      <w:proofErr w:type="spellStart"/>
      <w:r>
        <w:rPr>
          <w:rFonts w:ascii="Times New Roman" w:hAnsi="Times New Roman"/>
          <w:sz w:val="24"/>
          <w:szCs w:val="24"/>
        </w:rPr>
        <w:t>pensées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sociales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voyons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scène</w:t>
      </w:r>
      <w:proofErr w:type="spellEnd"/>
      <w:r>
        <w:rPr>
          <w:rFonts w:ascii="Times New Roman" w:hAnsi="Times New Roman"/>
          <w:sz w:val="24"/>
          <w:szCs w:val="24"/>
        </w:rPr>
        <w:t xml:space="preserve"> realiste </w:t>
      </w:r>
      <w:proofErr w:type="spellStart"/>
      <w:r>
        <w:rPr>
          <w:rFonts w:ascii="Times New Roman" w:hAnsi="Times New Roman"/>
          <w:sz w:val="24"/>
          <w:szCs w:val="24"/>
        </w:rPr>
        <w:t>ou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plutôt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naturaliste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tirée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directement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visites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l’auteur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mines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Derrière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description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</w:t>
      </w:r>
      <w:proofErr w:type="spellEnd"/>
      <w:r>
        <w:rPr>
          <w:rFonts w:ascii="Times New Roman" w:hAnsi="Times New Roman"/>
          <w:sz w:val="24"/>
          <w:szCs w:val="24"/>
        </w:rPr>
        <w:t xml:space="preserve">, nu, </w:t>
      </w:r>
      <w:proofErr w:type="spellStart"/>
      <w:r>
        <w:rPr>
          <w:rFonts w:ascii="Times New Roman" w:hAnsi="Times New Roman"/>
          <w:sz w:val="24"/>
          <w:szCs w:val="24"/>
        </w:rPr>
        <w:t>dominé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énormes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constructions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mines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fours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longue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droite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l’agriculture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pauvre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constatons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fait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humain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l’homme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cherche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travail</w:t>
      </w:r>
      <w:proofErr w:type="spellEnd"/>
      <w:r>
        <w:rPr>
          <w:rFonts w:ascii="Times New Roman" w:hAnsi="Times New Roman"/>
          <w:sz w:val="24"/>
          <w:szCs w:val="24"/>
        </w:rPr>
        <w:t xml:space="preserve">. La </w:t>
      </w:r>
      <w:proofErr w:type="spellStart"/>
      <w:r>
        <w:rPr>
          <w:rFonts w:ascii="Times New Roman" w:hAnsi="Times New Roman"/>
          <w:sz w:val="24"/>
          <w:szCs w:val="24"/>
        </w:rPr>
        <w:t>plaine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glaciale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vide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harmonie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parfaite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avec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description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vie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monotone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misérables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seulement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masse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lourde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machines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écrase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humains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aussi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nature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cruelle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ennemi</w:t>
      </w:r>
      <w:proofErr w:type="spellEnd"/>
      <w:r>
        <w:rPr>
          <w:rFonts w:ascii="Times New Roman" w:hAnsi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/>
          <w:sz w:val="24"/>
          <w:szCs w:val="24"/>
        </w:rPr>
        <w:t>personnage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principal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noyé</w:t>
      </w:r>
      <w:proofErr w:type="spellEnd"/>
      <w:r>
        <w:rPr>
          <w:rFonts w:ascii="Times New Roman" w:hAnsi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/>
          <w:sz w:val="24"/>
          <w:szCs w:val="24"/>
        </w:rPr>
        <w:t>mer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ténèbres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rappelle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l’existence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l’enfer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terre</w:t>
      </w:r>
      <w:proofErr w:type="spellEnd"/>
      <w:r>
        <w:rPr>
          <w:rFonts w:ascii="Times New Roman" w:hAnsi="Times New Roman"/>
          <w:sz w:val="24"/>
          <w:szCs w:val="24"/>
        </w:rPr>
        <w:t xml:space="preserve">. Par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telle </w:t>
      </w:r>
      <w:proofErr w:type="spellStart"/>
      <w:r>
        <w:rPr>
          <w:rFonts w:ascii="Times New Roman" w:hAnsi="Times New Roman"/>
          <w:sz w:val="24"/>
          <w:szCs w:val="24"/>
        </w:rPr>
        <w:t>scène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digne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Dante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précisé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détail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façon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naturaliste</w:t>
      </w:r>
      <w:proofErr w:type="spellEnd"/>
      <w:r>
        <w:rPr>
          <w:rFonts w:ascii="Times New Roman" w:hAnsi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/>
          <w:sz w:val="24"/>
          <w:szCs w:val="24"/>
        </w:rPr>
        <w:t>romancier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présente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concerne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monde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ouvriers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laissant</w:t>
      </w:r>
      <w:proofErr w:type="spellEnd"/>
      <w:r>
        <w:rPr>
          <w:rFonts w:ascii="Times New Roman" w:hAnsi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/>
          <w:sz w:val="24"/>
          <w:szCs w:val="24"/>
        </w:rPr>
        <w:t>l’ombre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pour</w:t>
      </w:r>
      <w:proofErr w:type="spellEnd"/>
      <w:r>
        <w:rPr>
          <w:rFonts w:ascii="Times New Roman" w:hAnsi="Times New Roman"/>
          <w:sz w:val="24"/>
          <w:szCs w:val="24"/>
        </w:rPr>
        <w:t xml:space="preserve"> le moment, un </w:t>
      </w:r>
      <w:proofErr w:type="spellStart"/>
      <w:r>
        <w:rPr>
          <w:rFonts w:ascii="Times New Roman" w:hAnsi="Times New Roman"/>
          <w:sz w:val="24"/>
          <w:szCs w:val="24"/>
        </w:rPr>
        <w:t>avenir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meilleur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plus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fraternel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D3B6D" w:rsidRDefault="004D3B6D"/>
    <w:sectPr w:rsidR="004D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5466"/>
    <w:multiLevelType w:val="hybridMultilevel"/>
    <w:tmpl w:val="CAB058D2"/>
    <w:lvl w:ilvl="0" w:tplc="EC98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F7"/>
    <w:rsid w:val="004D3B6D"/>
    <w:rsid w:val="00E0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4C40"/>
  <w15:chartTrackingRefBased/>
  <w15:docId w15:val="{9C0130F2-2A7C-4363-8CD9-16220E26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5F7"/>
    <w:pPr>
      <w:spacing w:line="252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2020-05-06T08:34:00Z</dcterms:created>
  <dcterms:modified xsi:type="dcterms:W3CDTF">2020-05-06T08:35:00Z</dcterms:modified>
</cp:coreProperties>
</file>