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4B1" w:rsidRPr="007254B1" w:rsidRDefault="007254B1" w:rsidP="007254B1">
      <w:pPr>
        <w:spacing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4B1">
        <w:rPr>
          <w:rFonts w:ascii="Times New Roman" w:eastAsia="Times New Roman" w:hAnsi="Times New Roman" w:cs="Times New Roman"/>
          <w:sz w:val="24"/>
          <w:szCs w:val="24"/>
        </w:rPr>
        <w:t>Floransalı şair Dante Alighieri (1265-1321) dünya edebiyat tarihinin en çok merak edilen, üzer</w:t>
      </w:r>
      <w:r w:rsidRPr="007254B1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7254B1">
        <w:rPr>
          <w:rFonts w:ascii="Times New Roman" w:eastAsia="Times New Roman" w:hAnsi="Times New Roman" w:cs="Times New Roman"/>
          <w:sz w:val="24"/>
          <w:szCs w:val="24"/>
        </w:rPr>
        <w:t>ne en çok çalışma yapılan, belki de en bilinen figürlerinden biridir. Ölümsüz eseri “</w:t>
      </w:r>
      <w:r w:rsidRPr="007254B1">
        <w:rPr>
          <w:rFonts w:ascii="Times New Roman" w:eastAsia="Times New Roman" w:hAnsi="Times New Roman" w:cs="Times New Roman"/>
          <w:i/>
          <w:sz w:val="24"/>
          <w:szCs w:val="24"/>
        </w:rPr>
        <w:t>Divina Commedia</w:t>
      </w:r>
      <w:r w:rsidRPr="007254B1">
        <w:rPr>
          <w:rFonts w:ascii="Times New Roman" w:eastAsia="Times New Roman" w:hAnsi="Times New Roman" w:cs="Times New Roman"/>
          <w:sz w:val="24"/>
          <w:szCs w:val="24"/>
        </w:rPr>
        <w:t>” (İlahi Komedya) ile edebiyat tarihi</w:t>
      </w:r>
      <w:r w:rsidRPr="007254B1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7254B1">
        <w:rPr>
          <w:rFonts w:ascii="Times New Roman" w:eastAsia="Times New Roman" w:hAnsi="Times New Roman" w:cs="Times New Roman"/>
          <w:sz w:val="24"/>
          <w:szCs w:val="24"/>
        </w:rPr>
        <w:t xml:space="preserve">de önemli bir yer edinir. Bu niteliklerinden ötürü Dante Alighieri ve başyapıtı </w:t>
      </w:r>
      <w:r w:rsidRPr="007254B1">
        <w:rPr>
          <w:rFonts w:ascii="Times New Roman" w:eastAsia="Times New Roman" w:hAnsi="Times New Roman" w:cs="Times New Roman"/>
          <w:i/>
          <w:sz w:val="24"/>
          <w:szCs w:val="24"/>
        </w:rPr>
        <w:t>Divina Commedia</w:t>
      </w:r>
      <w:r w:rsidRPr="007254B1">
        <w:rPr>
          <w:rFonts w:ascii="Times New Roman" w:eastAsia="Times New Roman" w:hAnsi="Times New Roman" w:cs="Times New Roman"/>
          <w:sz w:val="24"/>
          <w:szCs w:val="24"/>
        </w:rPr>
        <w:t xml:space="preserve"> ile alakalı eserin tüm yönlerini ele alan kapsamlı bir çalışma yapmak neredeyse imkânsızdır. Zira eser yazıldığı 14. yüzyıldan beri tüm insanlık için bir ilgi noktası olagelmiştir. </w:t>
      </w:r>
    </w:p>
    <w:p w:rsidR="007254B1" w:rsidRPr="007254B1" w:rsidRDefault="007254B1" w:rsidP="007254B1">
      <w:pPr>
        <w:spacing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4B1">
        <w:rPr>
          <w:rFonts w:ascii="Times New Roman" w:eastAsia="Times New Roman" w:hAnsi="Times New Roman" w:cs="Times New Roman"/>
          <w:sz w:val="24"/>
          <w:szCs w:val="24"/>
        </w:rPr>
        <w:t>Dante Alighieri’nin eseri kaleme alırken temel düşüncelerinden birisi, belki de en önde geleni, insanlara içinde bulundukları yozlaşmışl</w:t>
      </w:r>
      <w:r w:rsidRPr="007254B1">
        <w:rPr>
          <w:rFonts w:ascii="Times New Roman" w:eastAsia="Times New Roman" w:hAnsi="Times New Roman" w:cs="Times New Roman"/>
          <w:sz w:val="24"/>
          <w:szCs w:val="24"/>
        </w:rPr>
        <w:t>ı</w:t>
      </w:r>
      <w:r w:rsidRPr="007254B1">
        <w:rPr>
          <w:rFonts w:ascii="Times New Roman" w:eastAsia="Times New Roman" w:hAnsi="Times New Roman" w:cs="Times New Roman"/>
          <w:sz w:val="24"/>
          <w:szCs w:val="24"/>
        </w:rPr>
        <w:t>ğı, günahkârlığı ve hilekârlığı göstermek, onlara kaybolan doğru yolu işaret etmektir. Temel nit</w:t>
      </w:r>
      <w:r w:rsidRPr="007254B1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7254B1">
        <w:rPr>
          <w:rFonts w:ascii="Times New Roman" w:eastAsia="Times New Roman" w:hAnsi="Times New Roman" w:cs="Times New Roman"/>
          <w:sz w:val="24"/>
          <w:szCs w:val="24"/>
        </w:rPr>
        <w:t xml:space="preserve">likleri ile </w:t>
      </w:r>
      <w:r w:rsidRPr="007254B1">
        <w:rPr>
          <w:rFonts w:ascii="Times New Roman" w:eastAsia="Times New Roman" w:hAnsi="Times New Roman" w:cs="Times New Roman"/>
          <w:i/>
          <w:sz w:val="24"/>
          <w:szCs w:val="24"/>
        </w:rPr>
        <w:t>Divina Commedia</w:t>
      </w:r>
      <w:r w:rsidRPr="007254B1">
        <w:rPr>
          <w:rFonts w:ascii="Times New Roman" w:eastAsia="Times New Roman" w:hAnsi="Times New Roman" w:cs="Times New Roman"/>
          <w:sz w:val="24"/>
          <w:szCs w:val="24"/>
        </w:rPr>
        <w:t>’yı anlamak ve irdel</w:t>
      </w:r>
      <w:r w:rsidRPr="007254B1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7254B1">
        <w:rPr>
          <w:rFonts w:ascii="Times New Roman" w:eastAsia="Times New Roman" w:hAnsi="Times New Roman" w:cs="Times New Roman"/>
          <w:sz w:val="24"/>
          <w:szCs w:val="24"/>
        </w:rPr>
        <w:t>mek isteyen okuru ilk karşılayacak öge, diğer tüm edebiyat eserlerinde olduğu gibi, başkahr</w:t>
      </w:r>
      <w:r w:rsidRPr="007254B1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7254B1">
        <w:rPr>
          <w:rFonts w:ascii="Times New Roman" w:eastAsia="Times New Roman" w:hAnsi="Times New Roman" w:cs="Times New Roman"/>
          <w:sz w:val="24"/>
          <w:szCs w:val="24"/>
        </w:rPr>
        <w:t xml:space="preserve">manlardır. </w:t>
      </w:r>
      <w:r w:rsidRPr="007254B1">
        <w:rPr>
          <w:rFonts w:ascii="Times New Roman" w:eastAsia="Times New Roman" w:hAnsi="Times New Roman" w:cs="Times New Roman"/>
          <w:i/>
          <w:sz w:val="24"/>
          <w:szCs w:val="24"/>
        </w:rPr>
        <w:t>Divina Commedia</w:t>
      </w:r>
      <w:r w:rsidRPr="007254B1">
        <w:rPr>
          <w:rFonts w:ascii="Times New Roman" w:eastAsia="Times New Roman" w:hAnsi="Times New Roman" w:cs="Times New Roman"/>
          <w:sz w:val="24"/>
          <w:szCs w:val="24"/>
        </w:rPr>
        <w:t xml:space="preserve"> gibi oldukça hacimli ve yüzlerce farklı karakterin yer aldığı bir anlat</w:t>
      </w:r>
      <w:r w:rsidRPr="007254B1">
        <w:rPr>
          <w:rFonts w:ascii="Times New Roman" w:eastAsia="Times New Roman" w:hAnsi="Times New Roman" w:cs="Times New Roman"/>
          <w:sz w:val="24"/>
          <w:szCs w:val="24"/>
        </w:rPr>
        <w:t>ı</w:t>
      </w:r>
      <w:r w:rsidRPr="007254B1">
        <w:rPr>
          <w:rFonts w:ascii="Times New Roman" w:eastAsia="Times New Roman" w:hAnsi="Times New Roman" w:cs="Times New Roman"/>
          <w:sz w:val="24"/>
          <w:szCs w:val="24"/>
        </w:rPr>
        <w:t xml:space="preserve">da, üç temel figür tüm bir eserin bel kemiğini oluşturur: mistik seyyah ve şair Dante Alighieri, rehberi ve ustası olarak nitelendirdiği Vergilius ve Floransalı şairin sonsuz aşkı Beatrice. Üç ana karaktere ek olarak </w:t>
      </w:r>
      <w:r w:rsidRPr="007254B1">
        <w:rPr>
          <w:rFonts w:ascii="Times New Roman" w:eastAsia="Times New Roman" w:hAnsi="Times New Roman" w:cs="Times New Roman"/>
          <w:i/>
          <w:sz w:val="24"/>
          <w:szCs w:val="24"/>
        </w:rPr>
        <w:t>Divina Commedia</w:t>
      </w:r>
      <w:r w:rsidRPr="007254B1">
        <w:rPr>
          <w:rFonts w:ascii="Times New Roman" w:eastAsia="Times New Roman" w:hAnsi="Times New Roman" w:cs="Times New Roman"/>
          <w:sz w:val="24"/>
          <w:szCs w:val="24"/>
        </w:rPr>
        <w:t xml:space="preserve"> üç temel bölümden </w:t>
      </w:r>
      <w:r w:rsidRPr="007254B1">
        <w:rPr>
          <w:rFonts w:ascii="Times New Roman" w:eastAsia="Times New Roman" w:hAnsi="Times New Roman" w:cs="Times New Roman"/>
          <w:i/>
          <w:sz w:val="24"/>
          <w:szCs w:val="24"/>
        </w:rPr>
        <w:t>Inferno</w:t>
      </w:r>
      <w:r w:rsidRPr="007254B1">
        <w:rPr>
          <w:rFonts w:ascii="Times New Roman" w:eastAsia="Times New Roman" w:hAnsi="Times New Roman" w:cs="Times New Roman"/>
          <w:sz w:val="24"/>
          <w:szCs w:val="24"/>
        </w:rPr>
        <w:t xml:space="preserve"> (Cehennem), </w:t>
      </w:r>
      <w:r w:rsidRPr="007254B1">
        <w:rPr>
          <w:rFonts w:ascii="Times New Roman" w:eastAsia="Times New Roman" w:hAnsi="Times New Roman" w:cs="Times New Roman"/>
          <w:i/>
          <w:sz w:val="24"/>
          <w:szCs w:val="24"/>
        </w:rPr>
        <w:t>Purgatorio</w:t>
      </w:r>
      <w:r w:rsidRPr="007254B1">
        <w:rPr>
          <w:rFonts w:ascii="Times New Roman" w:eastAsia="Times New Roman" w:hAnsi="Times New Roman" w:cs="Times New Roman"/>
          <w:sz w:val="24"/>
          <w:szCs w:val="24"/>
        </w:rPr>
        <w:t xml:space="preserve"> (Araf) ve </w:t>
      </w:r>
      <w:r w:rsidRPr="007254B1">
        <w:rPr>
          <w:rFonts w:ascii="Times New Roman" w:eastAsia="Times New Roman" w:hAnsi="Times New Roman" w:cs="Times New Roman"/>
          <w:i/>
          <w:sz w:val="24"/>
          <w:szCs w:val="24"/>
        </w:rPr>
        <w:t>Paradiso</w:t>
      </w:r>
      <w:r w:rsidRPr="007254B1">
        <w:rPr>
          <w:rFonts w:ascii="Times New Roman" w:eastAsia="Times New Roman" w:hAnsi="Times New Roman" w:cs="Times New Roman"/>
          <w:sz w:val="24"/>
          <w:szCs w:val="24"/>
        </w:rPr>
        <w:t xml:space="preserve"> (Cennet) ve toplam 14.233 dizeden oluşur.</w:t>
      </w:r>
    </w:p>
    <w:p w:rsidR="007254B1" w:rsidRPr="007254B1" w:rsidRDefault="007254B1" w:rsidP="007254B1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54B1">
        <w:rPr>
          <w:rFonts w:ascii="Times New Roman" w:eastAsia="Times New Roman" w:hAnsi="Times New Roman" w:cs="Times New Roman"/>
          <w:sz w:val="24"/>
          <w:szCs w:val="24"/>
        </w:rPr>
        <w:t xml:space="preserve">Ünlü edebiyat eleştirmeni Giulio Ferroni’nin belirttiği üzere, </w:t>
      </w:r>
      <w:r w:rsidRPr="007254B1">
        <w:rPr>
          <w:rFonts w:ascii="Times New Roman" w:eastAsia="Times New Roman" w:hAnsi="Times New Roman" w:cs="Times New Roman"/>
          <w:i/>
          <w:sz w:val="24"/>
          <w:szCs w:val="24"/>
        </w:rPr>
        <w:t>Divina Commedi</w:t>
      </w:r>
      <w:r w:rsidRPr="007254B1">
        <w:rPr>
          <w:rFonts w:ascii="Times New Roman" w:eastAsia="Times New Roman" w:hAnsi="Times New Roman" w:cs="Times New Roman"/>
          <w:sz w:val="24"/>
          <w:szCs w:val="24"/>
        </w:rPr>
        <w:t>a’nın tam yazılış tarihine ilişkin kesin ve yanlışlanamaz be</w:t>
      </w:r>
      <w:r w:rsidRPr="007254B1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7254B1">
        <w:rPr>
          <w:rFonts w:ascii="Times New Roman" w:eastAsia="Times New Roman" w:hAnsi="Times New Roman" w:cs="Times New Roman"/>
          <w:sz w:val="24"/>
          <w:szCs w:val="24"/>
        </w:rPr>
        <w:t>geler söz konusu değildir. Ancak Dante’nin 1302 yılında sürgüne gönderilmesinden önce eseri yazmaya başladığı tahmin edilmektedir.</w:t>
      </w:r>
      <w:r w:rsidRPr="007254B1">
        <w:rPr>
          <w:rStyle w:val="SonnotBavurusu"/>
          <w:rFonts w:ascii="Times New Roman" w:eastAsia="Times New Roman" w:hAnsi="Times New Roman" w:cs="Times New Roman"/>
          <w:sz w:val="24"/>
          <w:szCs w:val="24"/>
        </w:rPr>
        <w:endnoteReference w:id="2"/>
      </w:r>
      <w:r w:rsidRPr="00725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54B1" w:rsidRPr="007254B1" w:rsidRDefault="007254B1" w:rsidP="007254B1">
      <w:pPr>
        <w:spacing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4B1">
        <w:rPr>
          <w:rFonts w:ascii="Times New Roman" w:eastAsia="Times New Roman" w:hAnsi="Times New Roman" w:cs="Times New Roman"/>
          <w:sz w:val="24"/>
          <w:szCs w:val="24"/>
        </w:rPr>
        <w:t>Araştırmalara göre Dante’nin eserini ya</w:t>
      </w:r>
      <w:r w:rsidRPr="007254B1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7254B1">
        <w:rPr>
          <w:rFonts w:ascii="Times New Roman" w:eastAsia="Times New Roman" w:hAnsi="Times New Roman" w:cs="Times New Roman"/>
          <w:sz w:val="24"/>
          <w:szCs w:val="24"/>
        </w:rPr>
        <w:t>maya başladığı tarih muhtemelen 1304-1307 veya 1306-1307 yıllarına denk düşmektedir. Eserin üç bölümünün de yazılmaya başlanması ve sonla</w:t>
      </w:r>
      <w:r w:rsidRPr="007254B1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7254B1">
        <w:rPr>
          <w:rFonts w:ascii="Times New Roman" w:eastAsia="Times New Roman" w:hAnsi="Times New Roman" w:cs="Times New Roman"/>
          <w:sz w:val="24"/>
          <w:szCs w:val="24"/>
        </w:rPr>
        <w:t>dırılmasına ilişkin tarihler birbirlerinden farklıdır. “Cehennem” bölümünün 1309 yılında tama</w:t>
      </w:r>
      <w:r w:rsidRPr="007254B1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7254B1">
        <w:rPr>
          <w:rFonts w:ascii="Times New Roman" w:eastAsia="Times New Roman" w:hAnsi="Times New Roman" w:cs="Times New Roman"/>
          <w:sz w:val="24"/>
          <w:szCs w:val="24"/>
        </w:rPr>
        <w:t>landığı ve henüz o yıllarda bir kaç el yazmasının dolaşımda olduğu aşikârdır. Francesco da Barberino’ya göre 1313 ve 1314 yılı civarında el yazmaları dolaşımdadır.</w:t>
      </w:r>
      <w:r w:rsidRPr="007254B1">
        <w:rPr>
          <w:rStyle w:val="SonnotBavurusu"/>
          <w:rFonts w:ascii="Times New Roman" w:eastAsia="Times New Roman" w:hAnsi="Times New Roman" w:cs="Times New Roman"/>
          <w:sz w:val="24"/>
          <w:szCs w:val="24"/>
        </w:rPr>
        <w:endnoteReference w:id="3"/>
      </w:r>
      <w:r w:rsidRPr="00725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54B1">
        <w:rPr>
          <w:rFonts w:ascii="Times New Roman" w:eastAsia="Times New Roman" w:hAnsi="Times New Roman" w:cs="Times New Roman"/>
          <w:sz w:val="24"/>
          <w:szCs w:val="24"/>
        </w:rPr>
        <w:lastRenderedPageBreak/>
        <w:t>“Araf” bölümünün ise 1315-1316 yılları arasında yazımının tamamla</w:t>
      </w:r>
      <w:r w:rsidRPr="007254B1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7254B1">
        <w:rPr>
          <w:rFonts w:ascii="Times New Roman" w:eastAsia="Times New Roman" w:hAnsi="Times New Roman" w:cs="Times New Roman"/>
          <w:sz w:val="24"/>
          <w:szCs w:val="24"/>
        </w:rPr>
        <w:t>dığı ve insanların yine aynı yıllarda el yazmaları vasıtasıyla okuma imkânına eriştikleri düşünü</w:t>
      </w:r>
      <w:r w:rsidRPr="007254B1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7254B1">
        <w:rPr>
          <w:rFonts w:ascii="Times New Roman" w:eastAsia="Times New Roman" w:hAnsi="Times New Roman" w:cs="Times New Roman"/>
          <w:sz w:val="24"/>
          <w:szCs w:val="24"/>
        </w:rPr>
        <w:t xml:space="preserve">mektedir. “Cennet” bölümünün başlangıç tarihi muhtemelen 1316 yılıdır ve Dante’nin hayatının son anlarında, 1321 yılı civarında, bu bölümü tamamlamış olduğu tahmin edilmektedir. </w:t>
      </w:r>
    </w:p>
    <w:p w:rsidR="007254B1" w:rsidRPr="007254B1" w:rsidRDefault="007254B1" w:rsidP="007254B1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54B1">
        <w:rPr>
          <w:rFonts w:ascii="Times New Roman" w:eastAsia="Times New Roman" w:hAnsi="Times New Roman" w:cs="Times New Roman"/>
          <w:sz w:val="24"/>
          <w:szCs w:val="24"/>
        </w:rPr>
        <w:t>Eserin dolaşımı ile ilgili ilginç bir nokta, henüz 1317 yılında Bolognalı tarihçilerin ve kr</w:t>
      </w:r>
      <w:r w:rsidRPr="007254B1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7254B1">
        <w:rPr>
          <w:rFonts w:ascii="Times New Roman" w:eastAsia="Times New Roman" w:hAnsi="Times New Roman" w:cs="Times New Roman"/>
          <w:sz w:val="24"/>
          <w:szCs w:val="24"/>
        </w:rPr>
        <w:t xml:space="preserve">niklerin eserlerinde “Cehennem” bölümünün bazı mısralarının yer almasıdır, ayrıca 1319 tarihli bir eserde “Cennet” bölümünün ilk mısralarını görmek mümkündür. </w:t>
      </w:r>
    </w:p>
    <w:p w:rsidR="007254B1" w:rsidRPr="007254B1" w:rsidRDefault="007254B1" w:rsidP="007254B1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54B1">
        <w:rPr>
          <w:rFonts w:ascii="Times New Roman" w:eastAsia="Times New Roman" w:hAnsi="Times New Roman" w:cs="Times New Roman"/>
          <w:sz w:val="24"/>
          <w:szCs w:val="24"/>
        </w:rPr>
        <w:t xml:space="preserve">Bu kayıtlar, en eski </w:t>
      </w:r>
      <w:r w:rsidRPr="007254B1">
        <w:rPr>
          <w:rFonts w:ascii="Times New Roman" w:eastAsia="Times New Roman" w:hAnsi="Times New Roman" w:cs="Times New Roman"/>
          <w:i/>
          <w:sz w:val="24"/>
          <w:szCs w:val="24"/>
        </w:rPr>
        <w:t>Divina Commedia</w:t>
      </w:r>
      <w:r w:rsidRPr="007254B1">
        <w:rPr>
          <w:rFonts w:ascii="Times New Roman" w:eastAsia="Times New Roman" w:hAnsi="Times New Roman" w:cs="Times New Roman"/>
          <w:sz w:val="24"/>
          <w:szCs w:val="24"/>
        </w:rPr>
        <w:t xml:space="preserve"> örneklerinden bazılarını oluşturur. Eser ile ilgili en eski el yazması, tam metin kopyalar 1330’lu yıllara aittir. 13-14. yüzyıllar arasında yaklaşık olarak 750 kopya el yazması çıkarı</w:t>
      </w:r>
      <w:r w:rsidRPr="007254B1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7254B1">
        <w:rPr>
          <w:rFonts w:ascii="Times New Roman" w:eastAsia="Times New Roman" w:hAnsi="Times New Roman" w:cs="Times New Roman"/>
          <w:sz w:val="24"/>
          <w:szCs w:val="24"/>
        </w:rPr>
        <w:t>dığı tahmin edilmektedir.</w:t>
      </w:r>
      <w:r w:rsidRPr="007254B1">
        <w:rPr>
          <w:rStyle w:val="SonnotBavurusu"/>
          <w:rFonts w:ascii="Times New Roman" w:eastAsia="Times New Roman" w:hAnsi="Times New Roman" w:cs="Times New Roman"/>
          <w:sz w:val="24"/>
          <w:szCs w:val="24"/>
        </w:rPr>
        <w:endnoteReference w:id="4"/>
      </w:r>
      <w:r w:rsidRPr="007254B1">
        <w:rPr>
          <w:rFonts w:ascii="Times New Roman" w:eastAsia="Times New Roman" w:hAnsi="Times New Roman" w:cs="Times New Roman"/>
          <w:sz w:val="24"/>
          <w:szCs w:val="24"/>
        </w:rPr>
        <w:t xml:space="preserve"> El yazması kopyalar, genelde büyük karakterli, resimli ve illüstrasyo</w:t>
      </w:r>
      <w:r w:rsidRPr="007254B1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7254B1">
        <w:rPr>
          <w:rFonts w:ascii="Times New Roman" w:eastAsia="Times New Roman" w:hAnsi="Times New Roman" w:cs="Times New Roman"/>
          <w:sz w:val="24"/>
          <w:szCs w:val="24"/>
        </w:rPr>
        <w:t>ludur. Ayrıca kolay okunabilir bir yapıdadır. Tüm yarımadaya dağıldıkları tahmin edilmektedir. Aristokratlardan din adamlarına, tüccarlardan halktan insanlara kadar pek çok farklı sını</w:t>
      </w:r>
      <w:r w:rsidRPr="007254B1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7254B1">
        <w:rPr>
          <w:rFonts w:ascii="Times New Roman" w:eastAsia="Times New Roman" w:hAnsi="Times New Roman" w:cs="Times New Roman"/>
          <w:sz w:val="24"/>
          <w:szCs w:val="24"/>
        </w:rPr>
        <w:t xml:space="preserve">tan kişiye ulaşır. </w:t>
      </w:r>
    </w:p>
    <w:p w:rsidR="007254B1" w:rsidRPr="007254B1" w:rsidRDefault="007254B1" w:rsidP="007254B1">
      <w:pPr>
        <w:spacing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54B1">
        <w:rPr>
          <w:rFonts w:ascii="Times New Roman" w:eastAsia="Times New Roman" w:hAnsi="Times New Roman" w:cs="Times New Roman"/>
          <w:sz w:val="24"/>
          <w:szCs w:val="24"/>
        </w:rPr>
        <w:t xml:space="preserve">Hatta eser kimi zaman sözel yolla yayılma gösterir ki, </w:t>
      </w:r>
      <w:r w:rsidRPr="007254B1">
        <w:rPr>
          <w:rFonts w:ascii="Times New Roman" w:eastAsia="Times New Roman" w:hAnsi="Times New Roman" w:cs="Times New Roman"/>
          <w:i/>
          <w:sz w:val="24"/>
          <w:szCs w:val="24"/>
        </w:rPr>
        <w:t>Divina Commedia</w:t>
      </w:r>
      <w:r w:rsidRPr="007254B1">
        <w:rPr>
          <w:rFonts w:ascii="Times New Roman" w:eastAsia="Times New Roman" w:hAnsi="Times New Roman" w:cs="Times New Roman"/>
          <w:sz w:val="24"/>
          <w:szCs w:val="24"/>
        </w:rPr>
        <w:t>’nın bazı bölümleri bu yolla yaygınlık kazanır. Bununla beraber, Francesco da Barberino ve Giovanni Boccaccio gibi Hümanist Dönem’in önemli isimlerinde birer el yazması kopya old</w:t>
      </w:r>
      <w:r w:rsidRPr="007254B1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7254B1">
        <w:rPr>
          <w:rFonts w:ascii="Times New Roman" w:eastAsia="Times New Roman" w:hAnsi="Times New Roman" w:cs="Times New Roman"/>
          <w:sz w:val="24"/>
          <w:szCs w:val="24"/>
        </w:rPr>
        <w:t xml:space="preserve">ğu düşünülmektedir. Her ne kadar el yazmaları dolaşımda olsa da, </w:t>
      </w:r>
      <w:r w:rsidRPr="007254B1">
        <w:rPr>
          <w:rFonts w:ascii="Times New Roman" w:eastAsia="Times New Roman" w:hAnsi="Times New Roman" w:cs="Times New Roman"/>
          <w:i/>
          <w:sz w:val="24"/>
          <w:szCs w:val="24"/>
        </w:rPr>
        <w:t>Divina Commedia</w:t>
      </w:r>
      <w:r w:rsidRPr="007254B1">
        <w:rPr>
          <w:rFonts w:ascii="Times New Roman" w:eastAsia="Times New Roman" w:hAnsi="Times New Roman" w:cs="Times New Roman"/>
          <w:sz w:val="24"/>
          <w:szCs w:val="24"/>
        </w:rPr>
        <w:t>’nın ilk matbaa baskısı, 1472 yılında küçük bir orta İtalya şehri olan Foligno’da, 2 Nisan tarihinde gerçe</w:t>
      </w:r>
      <w:r w:rsidRPr="007254B1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7254B1">
        <w:rPr>
          <w:rFonts w:ascii="Times New Roman" w:eastAsia="Times New Roman" w:hAnsi="Times New Roman" w:cs="Times New Roman"/>
          <w:sz w:val="24"/>
          <w:szCs w:val="24"/>
        </w:rPr>
        <w:t>leşir.</w:t>
      </w:r>
    </w:p>
    <w:p w:rsidR="007254B1" w:rsidRDefault="007254B1" w:rsidP="007254B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7254B1" w:rsidRDefault="007254B1" w:rsidP="007254B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7254B1" w:rsidRDefault="007254B1" w:rsidP="007254B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7254B1" w:rsidRDefault="007254B1" w:rsidP="007254B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7254B1" w:rsidRPr="007254B1" w:rsidRDefault="007254B1" w:rsidP="007254B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254B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Commedia, </w:t>
      </w:r>
    </w:p>
    <w:p w:rsidR="007254B1" w:rsidRPr="007254B1" w:rsidRDefault="007254B1" w:rsidP="007254B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254B1">
        <w:rPr>
          <w:rFonts w:ascii="Times New Roman" w:hAnsi="Times New Roman" w:cs="Times New Roman"/>
          <w:b/>
          <w:sz w:val="24"/>
          <w:szCs w:val="24"/>
        </w:rPr>
        <w:t>Poema Sacro veya Sacrato Poema</w:t>
      </w:r>
    </w:p>
    <w:p w:rsidR="007254B1" w:rsidRDefault="007254B1" w:rsidP="007254B1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54B1">
        <w:rPr>
          <w:rFonts w:ascii="Times New Roman" w:hAnsi="Times New Roman" w:cs="Times New Roman"/>
          <w:sz w:val="24"/>
          <w:szCs w:val="24"/>
        </w:rPr>
        <w:t>Özgün adı “</w:t>
      </w:r>
      <w:r w:rsidRPr="007254B1">
        <w:rPr>
          <w:rFonts w:ascii="Times New Roman" w:hAnsi="Times New Roman" w:cs="Times New Roman"/>
          <w:i/>
          <w:sz w:val="24"/>
          <w:szCs w:val="24"/>
        </w:rPr>
        <w:t>Commedia</w:t>
      </w:r>
      <w:r w:rsidRPr="007254B1">
        <w:rPr>
          <w:rFonts w:ascii="Times New Roman" w:hAnsi="Times New Roman" w:cs="Times New Roman"/>
          <w:sz w:val="24"/>
          <w:szCs w:val="24"/>
        </w:rPr>
        <w:t>” olan eser, diğer bir ünlü İtalyan yazar Giovanni Boccaccio sayesinde “</w:t>
      </w:r>
      <w:r w:rsidRPr="007254B1">
        <w:rPr>
          <w:rFonts w:ascii="Times New Roman" w:hAnsi="Times New Roman" w:cs="Times New Roman"/>
          <w:i/>
          <w:sz w:val="24"/>
          <w:szCs w:val="24"/>
        </w:rPr>
        <w:t>Divina</w:t>
      </w:r>
      <w:r w:rsidRPr="007254B1">
        <w:rPr>
          <w:rFonts w:ascii="Times New Roman" w:hAnsi="Times New Roman" w:cs="Times New Roman"/>
          <w:sz w:val="24"/>
          <w:szCs w:val="24"/>
        </w:rPr>
        <w:t xml:space="preserve">” (İlahi) sıfatını kazanır, ancak </w:t>
      </w:r>
      <w:r w:rsidRPr="007254B1">
        <w:rPr>
          <w:rFonts w:ascii="Times New Roman" w:hAnsi="Times New Roman" w:cs="Times New Roman"/>
          <w:i/>
          <w:sz w:val="24"/>
          <w:szCs w:val="24"/>
        </w:rPr>
        <w:t>Divina Comm</w:t>
      </w:r>
      <w:r w:rsidRPr="007254B1">
        <w:rPr>
          <w:rFonts w:ascii="Times New Roman" w:hAnsi="Times New Roman" w:cs="Times New Roman"/>
          <w:i/>
          <w:sz w:val="24"/>
          <w:szCs w:val="24"/>
        </w:rPr>
        <w:t>e</w:t>
      </w:r>
      <w:r w:rsidRPr="007254B1">
        <w:rPr>
          <w:rFonts w:ascii="Times New Roman" w:hAnsi="Times New Roman" w:cs="Times New Roman"/>
          <w:i/>
          <w:sz w:val="24"/>
          <w:szCs w:val="24"/>
        </w:rPr>
        <w:t>dia</w:t>
      </w:r>
      <w:r w:rsidRPr="007254B1">
        <w:rPr>
          <w:rFonts w:ascii="Times New Roman" w:hAnsi="Times New Roman" w:cs="Times New Roman"/>
          <w:sz w:val="24"/>
          <w:szCs w:val="24"/>
        </w:rPr>
        <w:t xml:space="preserve"> ismi yaygın olarak kullanılmaya ancak 15. yüzyılda başlar. Dante eserine “C</w:t>
      </w:r>
      <w:r w:rsidRPr="007254B1">
        <w:rPr>
          <w:rFonts w:ascii="Times New Roman" w:hAnsi="Times New Roman" w:cs="Times New Roman"/>
          <w:i/>
          <w:sz w:val="24"/>
          <w:szCs w:val="24"/>
        </w:rPr>
        <w:t>ommedia</w:t>
      </w:r>
      <w:r w:rsidRPr="007254B1">
        <w:rPr>
          <w:rFonts w:ascii="Times New Roman" w:hAnsi="Times New Roman" w:cs="Times New Roman"/>
          <w:sz w:val="24"/>
          <w:szCs w:val="24"/>
        </w:rPr>
        <w:t xml:space="preserve">” adını verir. Zira </w:t>
      </w:r>
      <w:r w:rsidRPr="007254B1">
        <w:rPr>
          <w:rFonts w:ascii="Times New Roman" w:hAnsi="Times New Roman" w:cs="Times New Roman"/>
          <w:iCs/>
          <w:sz w:val="24"/>
          <w:szCs w:val="24"/>
        </w:rPr>
        <w:t>Cehennem</w:t>
      </w:r>
      <w:r w:rsidRPr="007254B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254B1">
        <w:rPr>
          <w:rFonts w:ascii="Times New Roman" w:hAnsi="Times New Roman" w:cs="Times New Roman"/>
          <w:sz w:val="24"/>
          <w:szCs w:val="24"/>
        </w:rPr>
        <w:t>bölümü rahatsız edici olmasına karşın şiir, komedilerde olduğu gibi mu</w:t>
      </w:r>
      <w:r w:rsidRPr="007254B1">
        <w:rPr>
          <w:rFonts w:ascii="Times New Roman" w:hAnsi="Times New Roman" w:cs="Times New Roman"/>
          <w:sz w:val="24"/>
          <w:szCs w:val="24"/>
        </w:rPr>
        <w:t>t</w:t>
      </w:r>
      <w:r w:rsidRPr="007254B1">
        <w:rPr>
          <w:rFonts w:ascii="Times New Roman" w:hAnsi="Times New Roman" w:cs="Times New Roman"/>
          <w:sz w:val="24"/>
          <w:szCs w:val="24"/>
        </w:rPr>
        <w:t xml:space="preserve">lu sonla biter. Ayrıca, o dönemde tüm halkın anlayacağı bir dille (halk İtalyancası, </w:t>
      </w:r>
      <w:r w:rsidRPr="007254B1">
        <w:rPr>
          <w:rFonts w:ascii="Times New Roman" w:hAnsi="Times New Roman" w:cs="Times New Roman"/>
          <w:i/>
          <w:sz w:val="24"/>
          <w:szCs w:val="24"/>
        </w:rPr>
        <w:t>volgare</w:t>
      </w:r>
      <w:r w:rsidRPr="007254B1">
        <w:rPr>
          <w:rFonts w:ascii="Times New Roman" w:hAnsi="Times New Roman" w:cs="Times New Roman"/>
          <w:sz w:val="24"/>
          <w:szCs w:val="24"/>
        </w:rPr>
        <w:t>) k</w:t>
      </w:r>
      <w:r w:rsidRPr="007254B1">
        <w:rPr>
          <w:rFonts w:ascii="Times New Roman" w:hAnsi="Times New Roman" w:cs="Times New Roman"/>
          <w:sz w:val="24"/>
          <w:szCs w:val="24"/>
        </w:rPr>
        <w:t>a</w:t>
      </w:r>
      <w:r w:rsidRPr="007254B1">
        <w:rPr>
          <w:rFonts w:ascii="Times New Roman" w:hAnsi="Times New Roman" w:cs="Times New Roman"/>
          <w:sz w:val="24"/>
          <w:szCs w:val="24"/>
        </w:rPr>
        <w:t>leme alınmıştır. Dildeki bu yaklaşım Dante’nin yenilikçi yönünün yansımasıdır.</w:t>
      </w:r>
    </w:p>
    <w:p w:rsidR="007254B1" w:rsidRPr="007254B1" w:rsidRDefault="007254B1" w:rsidP="007254B1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54B1">
        <w:rPr>
          <w:rFonts w:ascii="Times New Roman" w:hAnsi="Times New Roman" w:cs="Times New Roman"/>
          <w:sz w:val="24"/>
          <w:szCs w:val="24"/>
        </w:rPr>
        <w:t xml:space="preserve"> İlginç bir nokta şudur ki, Dante eserine </w:t>
      </w:r>
      <w:r w:rsidRPr="007254B1">
        <w:rPr>
          <w:rFonts w:ascii="Times New Roman" w:hAnsi="Times New Roman" w:cs="Times New Roman"/>
          <w:i/>
          <w:sz w:val="24"/>
          <w:szCs w:val="24"/>
        </w:rPr>
        <w:t>Commedia</w:t>
      </w:r>
      <w:r w:rsidRPr="007254B1">
        <w:rPr>
          <w:rFonts w:ascii="Times New Roman" w:hAnsi="Times New Roman" w:cs="Times New Roman"/>
          <w:sz w:val="24"/>
          <w:szCs w:val="24"/>
        </w:rPr>
        <w:t xml:space="preserve"> ismini vermesine karşın, bu sözcüğü iki sefer, yalnızca “C</w:t>
      </w:r>
      <w:r w:rsidRPr="007254B1">
        <w:rPr>
          <w:rFonts w:ascii="Times New Roman" w:hAnsi="Times New Roman" w:cs="Times New Roman"/>
          <w:sz w:val="24"/>
          <w:szCs w:val="24"/>
        </w:rPr>
        <w:t>e</w:t>
      </w:r>
      <w:r w:rsidRPr="007254B1">
        <w:rPr>
          <w:rFonts w:ascii="Times New Roman" w:hAnsi="Times New Roman" w:cs="Times New Roman"/>
          <w:sz w:val="24"/>
          <w:szCs w:val="24"/>
        </w:rPr>
        <w:t xml:space="preserve">hennem” bölümünde görürüz; Araf ve Cennet bölümlerindeyse Floransalı şair eserinden </w:t>
      </w:r>
      <w:r w:rsidRPr="007254B1">
        <w:rPr>
          <w:rFonts w:ascii="Times New Roman" w:hAnsi="Times New Roman" w:cs="Times New Roman"/>
          <w:i/>
          <w:sz w:val="24"/>
          <w:szCs w:val="24"/>
        </w:rPr>
        <w:t xml:space="preserve">poema sacro </w:t>
      </w:r>
      <w:r w:rsidRPr="007254B1">
        <w:rPr>
          <w:rFonts w:ascii="Times New Roman" w:hAnsi="Times New Roman" w:cs="Times New Roman"/>
          <w:sz w:val="24"/>
          <w:szCs w:val="24"/>
        </w:rPr>
        <w:t xml:space="preserve">(kutsal şiir) ve </w:t>
      </w:r>
      <w:r w:rsidRPr="007254B1">
        <w:rPr>
          <w:rFonts w:ascii="Times New Roman" w:hAnsi="Times New Roman" w:cs="Times New Roman"/>
          <w:i/>
          <w:sz w:val="24"/>
          <w:szCs w:val="24"/>
        </w:rPr>
        <w:t>sacrato poema</w:t>
      </w:r>
      <w:r w:rsidRPr="007254B1">
        <w:rPr>
          <w:rFonts w:ascii="Times New Roman" w:hAnsi="Times New Roman" w:cs="Times New Roman"/>
          <w:sz w:val="24"/>
          <w:szCs w:val="24"/>
        </w:rPr>
        <w:t xml:space="preserve"> (kutsanmış şiir) diye söz eder.</w:t>
      </w:r>
      <w:r w:rsidRPr="007254B1">
        <w:rPr>
          <w:rStyle w:val="SonnotBavurusu"/>
          <w:rFonts w:ascii="Times New Roman" w:hAnsi="Times New Roman" w:cs="Times New Roman"/>
          <w:sz w:val="24"/>
          <w:szCs w:val="24"/>
        </w:rPr>
        <w:endnoteReference w:id="5"/>
      </w:r>
      <w:r w:rsidRPr="007254B1">
        <w:rPr>
          <w:rFonts w:ascii="Times New Roman" w:hAnsi="Times New Roman" w:cs="Times New Roman"/>
          <w:sz w:val="24"/>
          <w:szCs w:val="24"/>
        </w:rPr>
        <w:t xml:space="preserve"> Bu yaklaşım da, Dante’nin şiirini ilahi bir yol gösterici olarak kaleme alığına dair yorumları doğrular niteliktedir.</w:t>
      </w:r>
    </w:p>
    <w:p w:rsidR="00000000" w:rsidRPr="007254B1" w:rsidRDefault="00435706" w:rsidP="007254B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4B1" w:rsidRPr="007254B1" w:rsidRDefault="007254B1" w:rsidP="007254B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4B1" w:rsidRPr="007254B1" w:rsidRDefault="007254B1" w:rsidP="007254B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4B1" w:rsidRPr="007254B1" w:rsidRDefault="007254B1" w:rsidP="007254B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254B1" w:rsidRPr="007254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5706" w:rsidRDefault="00435706" w:rsidP="007254B1">
      <w:pPr>
        <w:spacing w:after="0" w:line="240" w:lineRule="auto"/>
      </w:pPr>
      <w:r>
        <w:separator/>
      </w:r>
    </w:p>
  </w:endnote>
  <w:endnote w:type="continuationSeparator" w:id="1">
    <w:p w:rsidR="00435706" w:rsidRDefault="00435706" w:rsidP="007254B1">
      <w:pPr>
        <w:spacing w:after="0" w:line="240" w:lineRule="auto"/>
      </w:pPr>
      <w:r>
        <w:continuationSeparator/>
      </w:r>
    </w:p>
  </w:endnote>
  <w:endnote w:id="2">
    <w:p w:rsidR="007254B1" w:rsidRPr="00102A5B" w:rsidRDefault="007254B1" w:rsidP="007254B1">
      <w:pPr>
        <w:pStyle w:val="SonnotMetni"/>
        <w:rPr>
          <w:rFonts w:ascii="Garamond" w:hAnsi="Garamond"/>
          <w:sz w:val="24"/>
          <w:szCs w:val="24"/>
        </w:rPr>
      </w:pPr>
      <w:r w:rsidRPr="00102A5B">
        <w:rPr>
          <w:rStyle w:val="SonnotBavurusu"/>
          <w:rFonts w:ascii="Garamond" w:hAnsi="Garamond"/>
          <w:sz w:val="24"/>
          <w:szCs w:val="24"/>
        </w:rPr>
        <w:endnoteRef/>
      </w:r>
      <w:r w:rsidRPr="00102A5B">
        <w:rPr>
          <w:rFonts w:ascii="Garamond" w:hAnsi="Garamond"/>
          <w:sz w:val="24"/>
          <w:szCs w:val="24"/>
        </w:rPr>
        <w:t xml:space="preserve"> Giulio Ferroni, </w:t>
      </w:r>
      <w:r w:rsidRPr="00102A5B">
        <w:rPr>
          <w:rFonts w:ascii="Garamond" w:hAnsi="Garamond"/>
          <w:i/>
          <w:sz w:val="24"/>
          <w:szCs w:val="24"/>
        </w:rPr>
        <w:t>Profilo storico della letteratura italiana</w:t>
      </w:r>
      <w:r w:rsidRPr="00102A5B">
        <w:rPr>
          <w:rFonts w:ascii="Garamond" w:hAnsi="Garamond"/>
          <w:sz w:val="24"/>
          <w:szCs w:val="24"/>
        </w:rPr>
        <w:t>, Volume I (Milano: Einaudi, 1992), 108.</w:t>
      </w:r>
    </w:p>
  </w:endnote>
  <w:endnote w:id="3">
    <w:p w:rsidR="007254B1" w:rsidRPr="00102A5B" w:rsidRDefault="007254B1" w:rsidP="007254B1">
      <w:pPr>
        <w:pStyle w:val="SonnotMetni"/>
        <w:rPr>
          <w:rFonts w:ascii="Garamond" w:hAnsi="Garamond"/>
          <w:sz w:val="24"/>
          <w:szCs w:val="24"/>
        </w:rPr>
      </w:pPr>
      <w:r w:rsidRPr="00102A5B">
        <w:rPr>
          <w:rStyle w:val="SonnotBavurusu"/>
          <w:rFonts w:ascii="Garamond" w:hAnsi="Garamond"/>
          <w:sz w:val="24"/>
          <w:szCs w:val="24"/>
        </w:rPr>
        <w:endnoteRef/>
      </w:r>
      <w:r w:rsidRPr="00102A5B">
        <w:rPr>
          <w:rFonts w:ascii="Garamond" w:hAnsi="Garamond"/>
          <w:sz w:val="24"/>
          <w:szCs w:val="24"/>
        </w:rPr>
        <w:t xml:space="preserve"> A.g.e. 108.</w:t>
      </w:r>
    </w:p>
  </w:endnote>
  <w:endnote w:id="4">
    <w:p w:rsidR="007254B1" w:rsidRPr="00102A5B" w:rsidRDefault="007254B1" w:rsidP="007254B1">
      <w:pPr>
        <w:pStyle w:val="SonnotMetni"/>
        <w:rPr>
          <w:rFonts w:ascii="Garamond" w:hAnsi="Garamond"/>
          <w:sz w:val="24"/>
          <w:szCs w:val="24"/>
        </w:rPr>
      </w:pPr>
      <w:r w:rsidRPr="00102A5B">
        <w:rPr>
          <w:rStyle w:val="SonnotBavurusu"/>
          <w:rFonts w:ascii="Garamond" w:hAnsi="Garamond"/>
          <w:sz w:val="24"/>
          <w:szCs w:val="24"/>
        </w:rPr>
        <w:endnoteRef/>
      </w:r>
      <w:r w:rsidRPr="00102A5B">
        <w:rPr>
          <w:rFonts w:ascii="Garamond" w:hAnsi="Garamond"/>
          <w:sz w:val="24"/>
          <w:szCs w:val="24"/>
        </w:rPr>
        <w:t xml:space="preserve"> A.g.e. 110.</w:t>
      </w:r>
    </w:p>
  </w:endnote>
  <w:endnote w:id="5">
    <w:p w:rsidR="007254B1" w:rsidRPr="00102A5B" w:rsidRDefault="007254B1" w:rsidP="007254B1">
      <w:pPr>
        <w:pStyle w:val="SonnotMetni"/>
        <w:rPr>
          <w:rFonts w:ascii="Garamond" w:hAnsi="Garamond"/>
          <w:sz w:val="24"/>
          <w:szCs w:val="24"/>
        </w:rPr>
      </w:pPr>
      <w:r w:rsidRPr="00102A5B">
        <w:rPr>
          <w:rStyle w:val="SonnotBavurusu"/>
          <w:rFonts w:ascii="Garamond" w:hAnsi="Garamond"/>
          <w:sz w:val="24"/>
          <w:szCs w:val="24"/>
        </w:rPr>
        <w:endnoteRef/>
      </w:r>
      <w:r w:rsidRPr="00102A5B">
        <w:rPr>
          <w:rFonts w:ascii="Garamond" w:hAnsi="Garamond"/>
          <w:sz w:val="24"/>
          <w:szCs w:val="24"/>
        </w:rPr>
        <w:t xml:space="preserve"> A.g.e. 110.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5706" w:rsidRDefault="00435706" w:rsidP="007254B1">
      <w:pPr>
        <w:spacing w:after="0" w:line="240" w:lineRule="auto"/>
      </w:pPr>
      <w:r>
        <w:separator/>
      </w:r>
    </w:p>
  </w:footnote>
  <w:footnote w:type="continuationSeparator" w:id="1">
    <w:p w:rsidR="00435706" w:rsidRDefault="00435706" w:rsidP="007254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254B1"/>
    <w:rsid w:val="00435706"/>
    <w:rsid w:val="00725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onnotMetni">
    <w:name w:val="endnote text"/>
    <w:basedOn w:val="Normal"/>
    <w:link w:val="SonnotMetniChar"/>
    <w:uiPriority w:val="99"/>
    <w:semiHidden/>
    <w:unhideWhenUsed/>
    <w:rsid w:val="007254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SonnotMetniChar">
    <w:name w:val="Sonnot Metni Char"/>
    <w:basedOn w:val="VarsaylanParagrafYazTipi"/>
    <w:link w:val="SonnotMetni"/>
    <w:uiPriority w:val="99"/>
    <w:semiHidden/>
    <w:rsid w:val="007254B1"/>
    <w:rPr>
      <w:rFonts w:ascii="Times New Roman" w:eastAsia="Times New Roman" w:hAnsi="Times New Roman" w:cs="Times New Roman"/>
      <w:sz w:val="20"/>
      <w:szCs w:val="20"/>
      <w:lang/>
    </w:rPr>
  </w:style>
  <w:style w:type="character" w:styleId="SonnotBavurusu">
    <w:name w:val="endnote reference"/>
    <w:uiPriority w:val="99"/>
    <w:semiHidden/>
    <w:unhideWhenUsed/>
    <w:rsid w:val="007254B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677</Words>
  <Characters>3862</Characters>
  <Application>Microsoft Office Word</Application>
  <DocSecurity>0</DocSecurity>
  <Lines>32</Lines>
  <Paragraphs>9</Paragraphs>
  <ScaleCrop>false</ScaleCrop>
  <Company>NouS/TncTR</Company>
  <LinksUpToDate>false</LinksUpToDate>
  <CharactersWithSpaces>4530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2020-05-06T10:39:00Z</dcterms:created>
  <dcterms:modified xsi:type="dcterms:W3CDTF">2020-05-06T10:41:00Z</dcterms:modified>
</cp:coreProperties>
</file>