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>
        <w:rPr>
          <w:rFonts w:ascii="Times New Roman" w:eastAsia="MillerText-Roman" w:hAnsi="Times New Roman" w:cs="Times New Roman"/>
          <w:sz w:val="28"/>
          <w:szCs w:val="28"/>
          <w:lang w:val="en-US"/>
        </w:rPr>
        <w:t>Preface</w:t>
      </w:r>
    </w:p>
    <w:p w:rsid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Existentialism is commonly associated with Left-Bank Parisian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cafes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and the ‘family’ of philosophers Jean-Paul Sartre and Simone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de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Beauvoir who gathered there in the years immediately following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liberation of Paris at the end of World War II. One imagines offbeat,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avant-garde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intellectuals, attached to their cigarettes, listening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to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jazz as they hotly debate the implications of their new-found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political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and artistic liberty. The mood is one of enthusiasm,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creativity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anguished self-analysis, and freedom – always freedom.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Though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this reflects the image projected by the media of the day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and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doubtless captures the spirit of the time, it glosses over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philosophical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significance of existentialist thought, packaging it as a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cultural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phenomenon of a certain historical period. That is perhaps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price paid by a manner of thinking so bent on doing philosophy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concretely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rather than in some abstract and timeless manner.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existentialists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’ urge for contemporary relevance fired their social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and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political commitment. But it also linked them with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problems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their day and invited subsequent generations to view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them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as having the currency of yesterday’s news.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Such is the misreading of existentialist thought that I hope to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correct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in this short volume. If it bears the marks of its post-war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appearance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existentialism as a manner of doing philosophy and a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way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addressing the issues that matter in people’s lives is at least</w:t>
      </w: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</w:t>
      </w: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as old as philosophy itself. It is as current as the human condition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which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it examines. To ensure at the outset that this point is not lost,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 begin my initial chapter with a discussion of philosophy, not as a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doctrine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or a system of thought but as a way of life. The title of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Chapter 1 comes from Classical scholar Pierre </w:t>
      </w:r>
      <w:proofErr w:type="spell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Hadot’s</w:t>
      </w:r>
      <w:proofErr w:type="spell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study of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return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to the Stoics as an example of how ‘Ancient’ philosophy can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offer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meaning to people’s lives even in our day. Though his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preference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is for the Greeks and Romans, </w:t>
      </w:r>
      <w:bookmarkStart w:id="0" w:name="_GoBack"/>
      <w:bookmarkEnd w:id="0"/>
      <w:proofErr w:type="spell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Hadot</w:t>
      </w:r>
      <w:proofErr w:type="spell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finds a similar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concern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in the writings of Soren Kierkegaard and Friedrich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Nietzsche, the so-called 19th-century ‘fathers’ of the existentialist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movement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and among their 20th-century progeny.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It </w:t>
      </w: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is commonly acknowledged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that existentialism is a philosophy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about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the concrete individual. This is both its glory and its shame.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 an age of mass communication and mass destruction, it is to its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credit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that existentialism defends the intrinsic value of what its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main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proponent Sartre calls the ‘free organic individual’, that is,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flesh-and-blood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agent. Because of the almost irresistible pull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toward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conformity in modern society, what we shall call ‘existential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individuality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’ is an achievement, and not a permanent one at that.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lastRenderedPageBreak/>
        <w:t>We are born biological beings but we must become existential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individuals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by accepting responsibility for our actions. This is an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application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Nietzsche’s advice to ‘become what you are’. Many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people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never do acknowledge such responsibility but rather flee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their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existential individuality into the comfort of the faceless crowd.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As an object lesson in becoming an individual, in the following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chapter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I trace what Kierkegaard calls ‘spheres’ of existence or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‘</w:t>
      </w: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stages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on life’s way’ and conclude with some observations about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how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Nietzsche would view this project of becoming an existential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individual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Shortly after the end of the war, Sartre delivered a public lecture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entitled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‘Is Existentialism a Humanism?’ that rocked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intellectual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life of Paris and served as a quasi-manifesto for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movement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. From then on, existentialism was associated with a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certain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kind of humanistic philosophy that gives human beings and</w:t>
      </w: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</w:t>
      </w: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human values pride of place, and with critiques of alternative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versions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humanism accepted at that time. In Chapter 3, I discuss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implications of that problematic lecture, the only one Sartre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ever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regretted publishing, as well as his contemporary Martin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Heidegger’s ‘response’ in his famous </w:t>
      </w:r>
      <w:r w:rsidRPr="00865DD7">
        <w:rPr>
          <w:rFonts w:ascii="Times New Roman" w:eastAsia="MillerText-Roman" w:hAnsi="Times New Roman" w:cs="Times New Roman"/>
          <w:i/>
          <w:iCs/>
          <w:sz w:val="28"/>
          <w:szCs w:val="28"/>
          <w:lang w:val="en-US"/>
        </w:rPr>
        <w:t>Letter on Humanism</w:t>
      </w: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While the supreme value of existentialist thought is commonly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acknowledged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to be freedom, its primary virtue is authenticity.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Chapter 4 </w:t>
      </w: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is devoted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to this topic as well as to the nature and forms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of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self-deception, or bad faith, that function as its contrary. I relate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authenticity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to existential individuality and consider the possibility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of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an ethics of authenticity based on existential responsibility.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 order to counter the criticism, widespread immediately after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war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that existentialism is simply another form of bourgeois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individualism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bereft of collective consciousness and indifferent to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need to address the social issues of the day, I devote Chapter 5 to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issue of a ‘chastened individualism’, as the existentialists try to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conceive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social solidarity in a manner that will enhance rather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than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compromise individual freedom and responsibility, which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remain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non-negotiable.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In the last chapter, I draw on the foregoing as well as on other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aspects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existentialist thought to consider the continued relevance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of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existentialist philosophy in our day. It is necessary to separate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philosophical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significance of the movement, its powerful insights,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and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its attention to the concrete, from the arresting but now dated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trappings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its Left-Bank adolescence. From many likely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candidates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I choose four topics of current interest to which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existentialists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have something of philosophical import to say.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Two features of this brief volume may perhaps strike the reader as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lastRenderedPageBreak/>
        <w:t>limitations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even in a short introduction: the number of commonly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recognized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‘existentialist’ names that are absent and, at the other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extreme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, the possibly excessive presence of Jean-Paul Sartre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throughout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the work. Regarding the first, though I could have</w:t>
      </w: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</w:t>
      </w: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mentioned, for example, Dostoevsky or Kafka, Giacometti or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Picasso, Ionesco or Beckett, </w:t>
      </w: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all powerful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exemplars of existentialist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themes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in the arts, my concern is to treat existentialism as a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philosophical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movement with artistic implications rather than as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( just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) a literary movement with philosophical pretensions – which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is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 common though misguided conception. The reason for not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discussing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Buber or </w:t>
      </w:r>
      <w:proofErr w:type="spell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Berdaiev</w:t>
      </w:r>
      <w:proofErr w:type="spell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, Ortega y </w:t>
      </w:r>
      <w:proofErr w:type="spell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Gasset</w:t>
      </w:r>
      <w:proofErr w:type="spell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or Unamuno, and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many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other philosophers deserving of mention here, is that this is a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‘</w:t>
      </w: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very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’ short introduction, after all. Those interested in pursuing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topics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discussed here will find suggestions of useful sources at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end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the book.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As for the prominence of Sartre, he and de Beauvoir are the only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philosophers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in this group who admitted to being existentialists. To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extent that it is a 20th-century movement, existentialism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certainly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centred</w:t>
      </w:r>
      <w:proofErr w:type="spell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on his work. And no one better exemplifies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union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of and tension between philosophy and literature, the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conceptual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and the imaginary, the critical and the committed,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philosophy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as reflection and philosophy as way of life, that defines</w:t>
      </w:r>
    </w:p>
    <w:p w:rsidR="00865DD7" w:rsidRPr="00865DD7" w:rsidRDefault="00865DD7" w:rsidP="0086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llerText-Roman" w:hAnsi="Times New Roman" w:cs="Times New Roman"/>
          <w:sz w:val="28"/>
          <w:szCs w:val="28"/>
          <w:lang w:val="en-US"/>
        </w:rPr>
      </w:pPr>
      <w:proofErr w:type="gramStart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the</w:t>
      </w:r>
      <w:proofErr w:type="gramEnd"/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 xml:space="preserve"> existentialist mode of philosophizing than does Jean-Paul</w:t>
      </w:r>
    </w:p>
    <w:p w:rsidR="00B42C24" w:rsidRPr="00865DD7" w:rsidRDefault="00865DD7" w:rsidP="00865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DD7">
        <w:rPr>
          <w:rFonts w:ascii="Times New Roman" w:eastAsia="MillerText-Roman" w:hAnsi="Times New Roman" w:cs="Times New Roman"/>
          <w:sz w:val="28"/>
          <w:szCs w:val="28"/>
          <w:lang w:val="en-US"/>
        </w:rPr>
        <w:t>Sartre.</w:t>
      </w:r>
    </w:p>
    <w:sectPr w:rsidR="00B42C24" w:rsidRPr="0086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llerText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35"/>
    <w:rsid w:val="002D3135"/>
    <w:rsid w:val="00865DD7"/>
    <w:rsid w:val="00B4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5AF"/>
  <w15:chartTrackingRefBased/>
  <w15:docId w15:val="{AB0CC525-25A1-4F5B-8B36-E4E7DB57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3</cp:revision>
  <dcterms:created xsi:type="dcterms:W3CDTF">2020-05-06T15:59:00Z</dcterms:created>
  <dcterms:modified xsi:type="dcterms:W3CDTF">2020-05-06T16:00:00Z</dcterms:modified>
</cp:coreProperties>
</file>