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EF" w:rsidRPr="00AF77B7" w:rsidRDefault="00D724EF" w:rsidP="00D724EF">
      <w:pPr>
        <w:spacing w:after="120" w:line="240" w:lineRule="auto"/>
        <w:ind w:left="567" w:right="334"/>
        <w:jc w:val="center"/>
        <w:rPr>
          <w:rFonts w:ascii="Times New Roman" w:hAnsi="Times New Roman" w:cs="Times New Roman"/>
          <w:b/>
        </w:rPr>
      </w:pPr>
      <w:r>
        <w:rPr>
          <w:rFonts w:ascii="Times New Roman" w:hAnsi="Times New Roman" w:cs="Times New Roman"/>
          <w:b/>
        </w:rPr>
        <w:t>KALĀM</w:t>
      </w:r>
      <w:r w:rsidRPr="00AF77B7">
        <w:rPr>
          <w:rFonts w:ascii="Times New Roman" w:hAnsi="Times New Roman" w:cs="Times New Roman"/>
          <w:b/>
        </w:rPr>
        <w:t xml:space="preserve"> / MUSLIM THEOLOGY</w:t>
      </w:r>
    </w:p>
    <w:p w:rsidR="00D724EF" w:rsidRPr="00AF77B7" w:rsidRDefault="00D724EF" w:rsidP="00D724EF">
      <w:pPr>
        <w:spacing w:after="120" w:line="240" w:lineRule="auto"/>
        <w:ind w:left="567" w:right="334"/>
        <w:jc w:val="both"/>
        <w:rPr>
          <w:rFonts w:ascii="Times New Roman" w:hAnsi="Times New Roman" w:cs="Times New Roman"/>
          <w:b/>
        </w:rPr>
      </w:pPr>
    </w:p>
    <w:p w:rsidR="00D724EF" w:rsidRPr="00AF77B7" w:rsidRDefault="00D724EF" w:rsidP="00D724EF">
      <w:pPr>
        <w:spacing w:after="0" w:line="240" w:lineRule="auto"/>
        <w:ind w:left="567" w:right="334"/>
        <w:jc w:val="both"/>
        <w:rPr>
          <w:rFonts w:ascii="Times New Roman" w:hAnsi="Times New Roman" w:cs="Times New Roman"/>
          <w:b/>
        </w:rPr>
      </w:pPr>
      <w:proofErr w:type="spellStart"/>
      <w:r w:rsidRPr="00AF77B7">
        <w:rPr>
          <w:rFonts w:ascii="Times New Roman" w:hAnsi="Times New Roman" w:cs="Times New Roman"/>
          <w:b/>
        </w:rPr>
        <w:t>Prof.Dr.Şaban</w:t>
      </w:r>
      <w:proofErr w:type="spellEnd"/>
      <w:r w:rsidRPr="00AF77B7">
        <w:rPr>
          <w:rFonts w:ascii="Times New Roman" w:hAnsi="Times New Roman" w:cs="Times New Roman"/>
          <w:b/>
        </w:rPr>
        <w:t xml:space="preserve"> Ali DÜZGÜN</w:t>
      </w:r>
    </w:p>
    <w:p w:rsidR="00D724EF" w:rsidRPr="00AF77B7" w:rsidRDefault="002C5F5F" w:rsidP="00D724EF">
      <w:pPr>
        <w:spacing w:after="0" w:line="240" w:lineRule="auto"/>
        <w:ind w:left="567" w:right="334"/>
        <w:jc w:val="both"/>
        <w:rPr>
          <w:rFonts w:ascii="Times New Roman" w:hAnsi="Times New Roman" w:cs="Times New Roman"/>
          <w:b/>
        </w:rPr>
      </w:pPr>
      <w:hyperlink r:id="rId7" w:history="1">
        <w:r w:rsidR="00D724EF" w:rsidRPr="00AF77B7">
          <w:rPr>
            <w:rStyle w:val="Kpr"/>
            <w:rFonts w:ascii="Times New Roman" w:hAnsi="Times New Roman" w:cs="Times New Roman"/>
            <w:b/>
          </w:rPr>
          <w:t>duzgun@ankara.edu.tr</w:t>
        </w:r>
      </w:hyperlink>
    </w:p>
    <w:p w:rsidR="00D724EF" w:rsidRPr="00AF77B7" w:rsidRDefault="00D724EF" w:rsidP="00D724EF">
      <w:pPr>
        <w:spacing w:after="0" w:line="240" w:lineRule="auto"/>
        <w:ind w:left="567" w:right="334"/>
        <w:jc w:val="both"/>
        <w:rPr>
          <w:rFonts w:ascii="Times New Roman" w:hAnsi="Times New Roman" w:cs="Times New Roman"/>
          <w:b/>
        </w:rPr>
      </w:pPr>
    </w:p>
    <w:p w:rsidR="00D724EF" w:rsidRPr="00AF77B7" w:rsidRDefault="00D724EF" w:rsidP="00D724EF">
      <w:pPr>
        <w:spacing w:after="0" w:line="240" w:lineRule="auto"/>
        <w:ind w:left="567" w:right="334"/>
        <w:jc w:val="both"/>
        <w:rPr>
          <w:rFonts w:ascii="Times New Roman" w:hAnsi="Times New Roman" w:cs="Times New Roman"/>
          <w:b/>
        </w:rPr>
      </w:pPr>
      <w:r>
        <w:rPr>
          <w:rFonts w:ascii="Times New Roman" w:hAnsi="Times New Roman" w:cs="Times New Roman"/>
          <w:b/>
        </w:rPr>
        <w:t xml:space="preserve"> </w:t>
      </w:r>
    </w:p>
    <w:p w:rsidR="00D724EF" w:rsidRPr="00AF77B7" w:rsidRDefault="00D724EF" w:rsidP="00D724EF">
      <w:pPr>
        <w:spacing w:after="0" w:line="240" w:lineRule="auto"/>
        <w:ind w:left="567" w:right="334"/>
        <w:jc w:val="both"/>
        <w:rPr>
          <w:rFonts w:ascii="Times New Roman" w:hAnsi="Times New Roman" w:cs="Times New Roman"/>
          <w:b/>
        </w:rPr>
      </w:pPr>
    </w:p>
    <w:p w:rsidR="00D724EF" w:rsidRPr="00AF77B7" w:rsidRDefault="00D724EF" w:rsidP="00D724EF">
      <w:pPr>
        <w:pStyle w:val="ListeParagraf"/>
        <w:tabs>
          <w:tab w:val="left" w:pos="3043"/>
        </w:tabs>
        <w:spacing w:after="120" w:line="240" w:lineRule="auto"/>
        <w:ind w:left="567" w:right="334"/>
        <w:jc w:val="both"/>
        <w:rPr>
          <w:rFonts w:ascii="Times New Roman" w:hAnsi="Times New Roman" w:cs="Times New Roman"/>
          <w:b/>
        </w:rPr>
      </w:pPr>
      <w:r w:rsidRPr="00AF77B7">
        <w:rPr>
          <w:rFonts w:ascii="Times New Roman" w:hAnsi="Times New Roman" w:cs="Times New Roman"/>
          <w:b/>
        </w:rPr>
        <w:t xml:space="preserve">The Emergence of </w:t>
      </w:r>
      <w:proofErr w:type="spellStart"/>
      <w:r>
        <w:rPr>
          <w:rFonts w:ascii="Times New Roman" w:hAnsi="Times New Roman" w:cs="Times New Roman"/>
          <w:b/>
        </w:rPr>
        <w:t>Kalām</w:t>
      </w:r>
      <w:proofErr w:type="spellEnd"/>
      <w:r w:rsidRPr="00AF77B7">
        <w:rPr>
          <w:rFonts w:ascii="Times New Roman" w:hAnsi="Times New Roman" w:cs="Times New Roman"/>
          <w:b/>
        </w:rPr>
        <w:t xml:space="preserve"> (Muslim Theology) in the Classical Period</w:t>
      </w:r>
    </w:p>
    <w:p w:rsidR="00D724EF" w:rsidRPr="00AF77B7" w:rsidRDefault="00D724EF" w:rsidP="00D724EF">
      <w:pPr>
        <w:pStyle w:val="ListeParagraf"/>
        <w:tabs>
          <w:tab w:val="left" w:pos="3043"/>
        </w:tabs>
        <w:spacing w:after="120" w:line="240" w:lineRule="auto"/>
        <w:ind w:left="567" w:right="334"/>
        <w:jc w:val="both"/>
        <w:rPr>
          <w:rFonts w:ascii="Times New Roman" w:hAnsi="Times New Roman" w:cs="Times New Roman"/>
          <w:b/>
          <w:i/>
        </w:rPr>
      </w:pPr>
      <w:r w:rsidRPr="00AF77B7">
        <w:rPr>
          <w:rFonts w:ascii="Times New Roman" w:hAnsi="Times New Roman" w:cs="Times New Roman"/>
          <w:b/>
        </w:rPr>
        <w:t xml:space="preserve">The Term </w:t>
      </w:r>
      <w:proofErr w:type="spellStart"/>
      <w:r>
        <w:rPr>
          <w:rFonts w:ascii="Times New Roman" w:hAnsi="Times New Roman" w:cs="Times New Roman"/>
          <w:b/>
          <w:i/>
        </w:rPr>
        <w:t>Kalām</w:t>
      </w:r>
      <w:proofErr w:type="spellEnd"/>
      <w:r w:rsidRPr="00AF77B7">
        <w:rPr>
          <w:rFonts w:ascii="Times New Roman" w:hAnsi="Times New Roman" w:cs="Times New Roman"/>
          <w:b/>
          <w:i/>
        </w:rPr>
        <w:tab/>
      </w:r>
    </w:p>
    <w:p w:rsidR="00D724EF" w:rsidRPr="00AF77B7" w:rsidRDefault="00D724EF" w:rsidP="00D724EF">
      <w:pPr>
        <w:pStyle w:val="ListeParagraf"/>
        <w:spacing w:after="120" w:line="240" w:lineRule="auto"/>
        <w:ind w:left="567" w:right="334"/>
        <w:jc w:val="both"/>
        <w:rPr>
          <w:rFonts w:ascii="Times New Roman" w:hAnsi="Times New Roman" w:cs="Times New Roman"/>
        </w:rPr>
      </w:pPr>
      <w:r w:rsidRPr="00AF77B7">
        <w:rPr>
          <w:rFonts w:ascii="Times New Roman" w:hAnsi="Times New Roman" w:cs="Times New Roman"/>
        </w:rPr>
        <w:t xml:space="preserve">The term </w:t>
      </w:r>
      <w:proofErr w:type="spellStart"/>
      <w:r>
        <w:rPr>
          <w:rFonts w:ascii="Times New Roman" w:hAnsi="Times New Roman" w:cs="Times New Roman"/>
          <w:i/>
        </w:rPr>
        <w:t>Kalām</w:t>
      </w:r>
      <w:proofErr w:type="spellEnd"/>
      <w:r w:rsidRPr="00AF77B7">
        <w:rPr>
          <w:rFonts w:ascii="Times New Roman" w:hAnsi="Times New Roman" w:cs="Times New Roman"/>
          <w:i/>
        </w:rPr>
        <w:t xml:space="preserve"> </w:t>
      </w:r>
      <w:r w:rsidRPr="00AF77B7">
        <w:rPr>
          <w:rFonts w:ascii="Times New Roman" w:hAnsi="Times New Roman" w:cs="Times New Roman"/>
        </w:rPr>
        <w:t>literally means ‘speech’ and ‘word’, and is the counterpart of the term ‘logos’ in Greece, which means ‘reason’ and ‘argument’. It establishes the basics of faith and deed in accordance</w:t>
      </w:r>
      <w:r>
        <w:rPr>
          <w:rFonts w:ascii="Times New Roman" w:hAnsi="Times New Roman" w:cs="Times New Roman"/>
        </w:rPr>
        <w:t xml:space="preserve"> </w:t>
      </w:r>
      <w:r w:rsidRPr="00AF77B7">
        <w:rPr>
          <w:rFonts w:ascii="Times New Roman" w:hAnsi="Times New Roman" w:cs="Times New Roman"/>
        </w:rPr>
        <w:t xml:space="preserve">with the Qur’an, justifies these basics rationally and defends them against challenging ideas. From this </w:t>
      </w:r>
      <w:proofErr w:type="gramStart"/>
      <w:r w:rsidRPr="00AF77B7">
        <w:rPr>
          <w:rFonts w:ascii="Times New Roman" w:hAnsi="Times New Roman" w:cs="Times New Roman"/>
        </w:rPr>
        <w:t>definition</w:t>
      </w:r>
      <w:proofErr w:type="gramEnd"/>
      <w:r w:rsidRPr="00AF77B7">
        <w:rPr>
          <w:rFonts w:ascii="Times New Roman" w:hAnsi="Times New Roman" w:cs="Times New Roman"/>
        </w:rPr>
        <w:t xml:space="preserve"> follows that the subject matters of </w:t>
      </w:r>
      <w:proofErr w:type="spellStart"/>
      <w:r>
        <w:rPr>
          <w:rFonts w:ascii="Times New Roman" w:hAnsi="Times New Roman" w:cs="Times New Roman"/>
        </w:rPr>
        <w:t>Kalām</w:t>
      </w:r>
      <w:proofErr w:type="spellEnd"/>
      <w:r w:rsidRPr="00AF77B7">
        <w:rPr>
          <w:rFonts w:ascii="Times New Roman" w:hAnsi="Times New Roman" w:cs="Times New Roman"/>
        </w:rPr>
        <w:t xml:space="preserve"> are faith and deeds/actions. The three branches of faith are belief in God, His prophets and the day to come. Deeds are ethical and so practical side of </w:t>
      </w:r>
      <w:proofErr w:type="spellStart"/>
      <w:r>
        <w:rPr>
          <w:rFonts w:ascii="Times New Roman" w:hAnsi="Times New Roman" w:cs="Times New Roman"/>
        </w:rPr>
        <w:t>Kalām</w:t>
      </w:r>
      <w:proofErr w:type="spellEnd"/>
      <w:r w:rsidRPr="00AF77B7">
        <w:rPr>
          <w:rFonts w:ascii="Times New Roman" w:hAnsi="Times New Roman" w:cs="Times New Roman"/>
        </w:rPr>
        <w:t xml:space="preserve">. </w:t>
      </w:r>
    </w:p>
    <w:p w:rsidR="00D724EF" w:rsidRPr="00AF77B7" w:rsidRDefault="00D724EF" w:rsidP="00D724EF">
      <w:pPr>
        <w:spacing w:after="120" w:line="240" w:lineRule="auto"/>
        <w:ind w:left="567" w:right="334"/>
        <w:jc w:val="both"/>
        <w:rPr>
          <w:rFonts w:ascii="Times New Roman" w:hAnsi="Times New Roman" w:cs="Times New Roman"/>
        </w:rPr>
      </w:pPr>
      <w:proofErr w:type="spellStart"/>
      <w:r>
        <w:rPr>
          <w:rFonts w:ascii="Times New Roman" w:hAnsi="Times New Roman" w:cs="Times New Roman"/>
        </w:rPr>
        <w:t>Kalām</w:t>
      </w:r>
      <w:proofErr w:type="spellEnd"/>
      <w:r w:rsidRPr="00AF77B7">
        <w:rPr>
          <w:rFonts w:ascii="Times New Roman" w:hAnsi="Times New Roman" w:cs="Times New Roman"/>
        </w:rPr>
        <w:t xml:space="preserve"> was applied to a particular system of </w:t>
      </w:r>
      <w:proofErr w:type="gramStart"/>
      <w:r w:rsidRPr="00AF77B7">
        <w:rPr>
          <w:rFonts w:ascii="Times New Roman" w:hAnsi="Times New Roman" w:cs="Times New Roman"/>
        </w:rPr>
        <w:t>thought which</w:t>
      </w:r>
      <w:proofErr w:type="gramEnd"/>
      <w:r w:rsidRPr="00AF77B7">
        <w:rPr>
          <w:rFonts w:ascii="Times New Roman" w:hAnsi="Times New Roman" w:cs="Times New Roman"/>
        </w:rPr>
        <w:t xml:space="preserve"> arouse in Islam prior to the rise of philosophy and its exponents simply called </w:t>
      </w:r>
      <w:proofErr w:type="spellStart"/>
      <w:r w:rsidRPr="00AF77B7">
        <w:rPr>
          <w:rFonts w:ascii="Times New Roman" w:hAnsi="Times New Roman" w:cs="Times New Roman"/>
          <w:i/>
        </w:rPr>
        <w:t>Mutakallimūn</w:t>
      </w:r>
      <w:proofErr w:type="spellEnd"/>
      <w:r w:rsidRPr="00AF77B7">
        <w:rPr>
          <w:rFonts w:ascii="Times New Roman" w:hAnsi="Times New Roman" w:cs="Times New Roman"/>
        </w:rPr>
        <w:t xml:space="preserve">. In its reference by the </w:t>
      </w:r>
      <w:proofErr w:type="spellStart"/>
      <w:r w:rsidRPr="00AF77B7">
        <w:rPr>
          <w:rFonts w:ascii="Times New Roman" w:hAnsi="Times New Roman" w:cs="Times New Roman"/>
          <w:i/>
        </w:rPr>
        <w:t>mutakallimūn</w:t>
      </w:r>
      <w:proofErr w:type="spellEnd"/>
      <w:r w:rsidRPr="00AF77B7">
        <w:rPr>
          <w:rFonts w:ascii="Times New Roman" w:hAnsi="Times New Roman" w:cs="Times New Roman"/>
          <w:i/>
        </w:rPr>
        <w:t>, ‘</w:t>
      </w:r>
      <w:proofErr w:type="spellStart"/>
      <w:r w:rsidRPr="00AF77B7">
        <w:rPr>
          <w:rFonts w:ascii="Times New Roman" w:hAnsi="Times New Roman" w:cs="Times New Roman"/>
          <w:i/>
        </w:rPr>
        <w:t>ilm</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kalām</w:t>
      </w:r>
      <w:proofErr w:type="spellEnd"/>
      <w:r w:rsidRPr="00AF77B7">
        <w:rPr>
          <w:rFonts w:ascii="Times New Roman" w:hAnsi="Times New Roman" w:cs="Times New Roman"/>
          <w:i/>
        </w:rPr>
        <w:t xml:space="preserve">’ </w:t>
      </w:r>
      <w:r w:rsidRPr="00AF77B7">
        <w:rPr>
          <w:rFonts w:ascii="Times New Roman" w:hAnsi="Times New Roman" w:cs="Times New Roman"/>
        </w:rPr>
        <w:t>is</w:t>
      </w:r>
      <w:r>
        <w:rPr>
          <w:rFonts w:ascii="Times New Roman" w:hAnsi="Times New Roman" w:cs="Times New Roman"/>
        </w:rPr>
        <w:t xml:space="preserve"> used interchangea</w:t>
      </w:r>
      <w:r w:rsidRPr="00AF77B7">
        <w:rPr>
          <w:rFonts w:ascii="Times New Roman" w:hAnsi="Times New Roman" w:cs="Times New Roman"/>
        </w:rPr>
        <w:t xml:space="preserve">bly with </w:t>
      </w:r>
      <w:r w:rsidRPr="00FC7826">
        <w:rPr>
          <w:rFonts w:ascii="Times New Roman" w:hAnsi="Times New Roman" w:cs="Times New Roman"/>
          <w:i/>
        </w:rPr>
        <w:t>‘</w:t>
      </w:r>
      <w:r w:rsidRPr="00AF77B7">
        <w:rPr>
          <w:rFonts w:ascii="Times New Roman" w:hAnsi="Times New Roman" w:cs="Times New Roman"/>
          <w:i/>
        </w:rPr>
        <w:t>‘</w:t>
      </w:r>
      <w:proofErr w:type="spellStart"/>
      <w:r w:rsidRPr="00AF77B7">
        <w:rPr>
          <w:rFonts w:ascii="Times New Roman" w:hAnsi="Times New Roman" w:cs="Times New Roman"/>
          <w:i/>
        </w:rPr>
        <w:t>ilm</w:t>
      </w:r>
      <w:proofErr w:type="spellEnd"/>
      <w:r w:rsidRPr="00AF77B7">
        <w:rPr>
          <w:rFonts w:ascii="Times New Roman" w:hAnsi="Times New Roman" w:cs="Times New Roman"/>
          <w:i/>
        </w:rPr>
        <w:t xml:space="preserve"> </w:t>
      </w:r>
      <w:proofErr w:type="spellStart"/>
      <w:r w:rsidRPr="00AF77B7">
        <w:rPr>
          <w:rFonts w:ascii="Times New Roman" w:hAnsi="Times New Roman" w:cs="Times New Roman"/>
          <w:i/>
        </w:rPr>
        <w:t>u</w:t>
      </w:r>
      <w:r>
        <w:rPr>
          <w:rFonts w:ascii="Times New Roman" w:hAnsi="Times New Roman" w:cs="Times New Roman"/>
          <w:i/>
        </w:rPr>
        <w:t>ṣ</w:t>
      </w:r>
      <w:r w:rsidRPr="00AF77B7">
        <w:rPr>
          <w:rFonts w:ascii="Times New Roman" w:hAnsi="Times New Roman" w:cs="Times New Roman"/>
          <w:i/>
        </w:rPr>
        <w:t>ūl</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dīn</w:t>
      </w:r>
      <w:proofErr w:type="spellEnd"/>
      <w:r w:rsidRPr="00FC7826">
        <w:rPr>
          <w:rFonts w:ascii="Times New Roman" w:hAnsi="Times New Roman" w:cs="Times New Roman"/>
          <w:i/>
        </w:rPr>
        <w:t xml:space="preserve">’ </w:t>
      </w:r>
      <w:r w:rsidRPr="00AF77B7">
        <w:rPr>
          <w:rFonts w:ascii="Times New Roman" w:hAnsi="Times New Roman" w:cs="Times New Roman"/>
        </w:rPr>
        <w:t xml:space="preserve">(the science of the basic doctrines of Islam). One of the primary tasks of theology, under this title, is to determine the items that make up the creed and to clarify their cognitive meaning. The titles </w:t>
      </w:r>
      <w:r w:rsidRPr="00AF77B7">
        <w:rPr>
          <w:rFonts w:ascii="Times New Roman" w:hAnsi="Times New Roman" w:cs="Times New Roman"/>
          <w:i/>
        </w:rPr>
        <w:t>‘</w:t>
      </w:r>
      <w:proofErr w:type="spellStart"/>
      <w:r w:rsidRPr="00AF77B7">
        <w:rPr>
          <w:rFonts w:ascii="Times New Roman" w:hAnsi="Times New Roman" w:cs="Times New Roman"/>
          <w:i/>
        </w:rPr>
        <w:t>ilm</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taw</w:t>
      </w:r>
      <w:r>
        <w:rPr>
          <w:rFonts w:ascii="Times New Roman" w:hAnsi="Times New Roman" w:cs="Times New Roman"/>
          <w:i/>
        </w:rPr>
        <w:t>ḥ</w:t>
      </w:r>
      <w:r w:rsidRPr="00AF77B7">
        <w:rPr>
          <w:rFonts w:ascii="Times New Roman" w:hAnsi="Times New Roman" w:cs="Times New Roman"/>
          <w:i/>
        </w:rPr>
        <w:t>īd</w:t>
      </w:r>
      <w:proofErr w:type="spellEnd"/>
      <w:r w:rsidRPr="00AF77B7">
        <w:rPr>
          <w:rFonts w:ascii="Times New Roman" w:hAnsi="Times New Roman" w:cs="Times New Roman"/>
        </w:rPr>
        <w:t>, ‘</w:t>
      </w:r>
      <w:proofErr w:type="spellStart"/>
      <w:r w:rsidRPr="00AF77B7">
        <w:rPr>
          <w:rFonts w:ascii="Times New Roman" w:hAnsi="Times New Roman" w:cs="Times New Roman"/>
          <w:i/>
        </w:rPr>
        <w:t>ilm</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jadal</w:t>
      </w:r>
      <w:proofErr w:type="spellEnd"/>
      <w:r w:rsidRPr="00AF77B7">
        <w:rPr>
          <w:rFonts w:ascii="Times New Roman" w:hAnsi="Times New Roman" w:cs="Times New Roman"/>
        </w:rPr>
        <w:t xml:space="preserve"> and </w:t>
      </w:r>
      <w:r w:rsidRPr="00AF77B7">
        <w:rPr>
          <w:rFonts w:ascii="Times New Roman" w:hAnsi="Times New Roman" w:cs="Times New Roman"/>
          <w:i/>
        </w:rPr>
        <w:t>‘</w:t>
      </w:r>
      <w:proofErr w:type="spellStart"/>
      <w:r w:rsidRPr="00AF77B7">
        <w:rPr>
          <w:rFonts w:ascii="Times New Roman" w:hAnsi="Times New Roman" w:cs="Times New Roman"/>
          <w:i/>
        </w:rPr>
        <w:t>ilm</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na</w:t>
      </w:r>
      <w:r>
        <w:rPr>
          <w:rFonts w:ascii="Times New Roman" w:hAnsi="Times New Roman" w:cs="Times New Roman"/>
          <w:i/>
        </w:rPr>
        <w:t>ẓ</w:t>
      </w:r>
      <w:r w:rsidRPr="00AF77B7">
        <w:rPr>
          <w:rFonts w:ascii="Times New Roman" w:hAnsi="Times New Roman" w:cs="Times New Roman"/>
          <w:i/>
        </w:rPr>
        <w:t>ar</w:t>
      </w:r>
      <w:proofErr w:type="spellEnd"/>
      <w:r w:rsidRPr="00AF77B7">
        <w:rPr>
          <w:rFonts w:ascii="Times New Roman" w:hAnsi="Times New Roman" w:cs="Times New Roman"/>
        </w:rPr>
        <w:t xml:space="preserve"> are also used to refer to </w:t>
      </w:r>
      <w:r w:rsidRPr="00AF77B7">
        <w:rPr>
          <w:rFonts w:ascii="Times New Roman" w:hAnsi="Times New Roman" w:cs="Times New Roman"/>
          <w:i/>
        </w:rPr>
        <w:t>‘</w:t>
      </w:r>
      <w:proofErr w:type="spellStart"/>
      <w:r w:rsidRPr="00AF77B7">
        <w:rPr>
          <w:rFonts w:ascii="Times New Roman" w:hAnsi="Times New Roman" w:cs="Times New Roman"/>
          <w:i/>
        </w:rPr>
        <w:t>ilm</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kalām</w:t>
      </w:r>
      <w:proofErr w:type="spellEnd"/>
      <w:r w:rsidRPr="00AF77B7">
        <w:rPr>
          <w:rFonts w:ascii="Times New Roman" w:hAnsi="Times New Roman" w:cs="Times New Roman"/>
        </w:rPr>
        <w:t xml:space="preserve"> to denote the essentials of Muslim belief as a whole. </w:t>
      </w:r>
      <w:r w:rsidRPr="0001096D">
        <w:rPr>
          <w:rFonts w:ascii="Times New Roman" w:hAnsi="Times New Roman" w:cs="Times New Roman"/>
          <w:i/>
        </w:rPr>
        <w:t>Al-</w:t>
      </w:r>
      <w:proofErr w:type="spellStart"/>
      <w:r w:rsidRPr="0001096D">
        <w:rPr>
          <w:rFonts w:ascii="Times New Roman" w:hAnsi="Times New Roman" w:cs="Times New Roman"/>
          <w:i/>
        </w:rPr>
        <w:t>Jadal</w:t>
      </w:r>
      <w:proofErr w:type="spellEnd"/>
      <w:r w:rsidRPr="00AF77B7">
        <w:rPr>
          <w:rFonts w:ascii="Times New Roman" w:hAnsi="Times New Roman" w:cs="Times New Roman"/>
        </w:rPr>
        <w:t>,</w:t>
      </w:r>
      <w:r>
        <w:rPr>
          <w:rFonts w:ascii="Times New Roman" w:hAnsi="Times New Roman" w:cs="Times New Roman"/>
        </w:rPr>
        <w:t xml:space="preserve"> </w:t>
      </w:r>
      <w:r w:rsidRPr="00AF77B7">
        <w:rPr>
          <w:rFonts w:ascii="Times New Roman" w:hAnsi="Times New Roman" w:cs="Times New Roman"/>
        </w:rPr>
        <w:t xml:space="preserve">the activity of dialectical disputation, </w:t>
      </w:r>
      <w:proofErr w:type="gramStart"/>
      <w:r w:rsidRPr="00AF77B7">
        <w:rPr>
          <w:rFonts w:ascii="Times New Roman" w:hAnsi="Times New Roman" w:cs="Times New Roman"/>
        </w:rPr>
        <w:t>is in particular used</w:t>
      </w:r>
      <w:proofErr w:type="gramEnd"/>
      <w:r w:rsidRPr="00AF77B7">
        <w:rPr>
          <w:rFonts w:ascii="Times New Roman" w:hAnsi="Times New Roman" w:cs="Times New Roman"/>
        </w:rPr>
        <w:t xml:space="preserve"> for instruction and the refutation of false theses. </w:t>
      </w:r>
      <w:r w:rsidRPr="00AF77B7">
        <w:rPr>
          <w:rFonts w:ascii="Times New Roman" w:hAnsi="Times New Roman" w:cs="Times New Roman"/>
          <w:i/>
        </w:rPr>
        <w:t>Al-</w:t>
      </w:r>
      <w:proofErr w:type="spellStart"/>
      <w:r w:rsidRPr="00AF77B7">
        <w:rPr>
          <w:rFonts w:ascii="Times New Roman" w:hAnsi="Times New Roman" w:cs="Times New Roman"/>
          <w:i/>
        </w:rPr>
        <w:t>na</w:t>
      </w:r>
      <w:r>
        <w:rPr>
          <w:rFonts w:ascii="Times New Roman" w:hAnsi="Times New Roman" w:cs="Times New Roman"/>
          <w:i/>
        </w:rPr>
        <w:t>ẓ</w:t>
      </w:r>
      <w:r w:rsidRPr="00AF77B7">
        <w:rPr>
          <w:rFonts w:ascii="Times New Roman" w:hAnsi="Times New Roman" w:cs="Times New Roman"/>
          <w:i/>
        </w:rPr>
        <w:t>ar</w:t>
      </w:r>
      <w:proofErr w:type="spellEnd"/>
      <w:r w:rsidRPr="00AF77B7">
        <w:rPr>
          <w:rFonts w:ascii="Times New Roman" w:hAnsi="Times New Roman" w:cs="Times New Roman"/>
        </w:rPr>
        <w:t xml:space="preserve">, also, in the sense of disputation is quite common and is used to denote that every single sign and symbol in the outside world is seen as a constituent part of rational thinking. </w:t>
      </w:r>
    </w:p>
    <w:p w:rsidR="00D724EF" w:rsidRPr="00AF77B7" w:rsidRDefault="00D724EF" w:rsidP="00D724EF">
      <w:pPr>
        <w:spacing w:after="120" w:line="240" w:lineRule="auto"/>
        <w:ind w:left="567" w:right="334"/>
        <w:jc w:val="both"/>
        <w:rPr>
          <w:rFonts w:ascii="Times New Roman" w:hAnsi="Times New Roman" w:cs="Times New Roman"/>
        </w:rPr>
      </w:pPr>
      <w:proofErr w:type="spellStart"/>
      <w:r w:rsidRPr="00AF77B7">
        <w:rPr>
          <w:rFonts w:ascii="Times New Roman" w:hAnsi="Times New Roman" w:cs="Times New Roman"/>
          <w:i/>
        </w:rPr>
        <w:t>U</w:t>
      </w:r>
      <w:r>
        <w:rPr>
          <w:rFonts w:ascii="Times New Roman" w:hAnsi="Times New Roman" w:cs="Times New Roman"/>
          <w:i/>
        </w:rPr>
        <w:t>ṣ</w:t>
      </w:r>
      <w:r w:rsidRPr="00AF77B7">
        <w:rPr>
          <w:rFonts w:ascii="Times New Roman" w:hAnsi="Times New Roman" w:cs="Times New Roman"/>
          <w:i/>
        </w:rPr>
        <w:t>ūl</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dīn</w:t>
      </w:r>
      <w:proofErr w:type="spellEnd"/>
      <w:r w:rsidRPr="00AF77B7">
        <w:rPr>
          <w:rFonts w:ascii="Times New Roman" w:hAnsi="Times New Roman" w:cs="Times New Roman"/>
        </w:rPr>
        <w:t xml:space="preserve"> generally follows the basic scheme which can rationally be demonstrated. Some topics like status of the Prophet and related questions such as prophetic revelation are not considered by some </w:t>
      </w:r>
      <w:proofErr w:type="spellStart"/>
      <w:r w:rsidRPr="00AF77B7">
        <w:rPr>
          <w:rFonts w:ascii="Times New Roman" w:hAnsi="Times New Roman" w:cs="Times New Roman"/>
          <w:i/>
        </w:rPr>
        <w:t>mutakallim</w:t>
      </w:r>
      <w:r>
        <w:rPr>
          <w:rFonts w:ascii="Times New Roman" w:hAnsi="Times New Roman" w:cs="Times New Roman"/>
          <w:i/>
        </w:rPr>
        <w:t>ū</w:t>
      </w:r>
      <w:r w:rsidRPr="00AF77B7">
        <w:rPr>
          <w:rFonts w:ascii="Times New Roman" w:hAnsi="Times New Roman" w:cs="Times New Roman"/>
          <w:i/>
        </w:rPr>
        <w:t>n</w:t>
      </w:r>
      <w:proofErr w:type="spellEnd"/>
      <w:r w:rsidRPr="00AF77B7">
        <w:rPr>
          <w:rFonts w:ascii="Times New Roman" w:hAnsi="Times New Roman" w:cs="Times New Roman"/>
        </w:rPr>
        <w:t xml:space="preserve"> to be </w:t>
      </w:r>
      <w:proofErr w:type="spellStart"/>
      <w:r>
        <w:rPr>
          <w:rFonts w:ascii="Times New Roman" w:hAnsi="Times New Roman" w:cs="Times New Roman"/>
          <w:i/>
        </w:rPr>
        <w:t>uṣūl</w:t>
      </w:r>
      <w:proofErr w:type="spellEnd"/>
      <w:r w:rsidRPr="00AF77B7">
        <w:rPr>
          <w:rFonts w:ascii="Times New Roman" w:hAnsi="Times New Roman" w:cs="Times New Roman"/>
        </w:rPr>
        <w:t xml:space="preserve"> but rather </w:t>
      </w:r>
      <w:proofErr w:type="spellStart"/>
      <w:r w:rsidRPr="00AF77B7">
        <w:rPr>
          <w:rFonts w:ascii="Times New Roman" w:hAnsi="Times New Roman" w:cs="Times New Roman"/>
          <w:i/>
        </w:rPr>
        <w:t>furū</w:t>
      </w:r>
      <w:proofErr w:type="spellEnd"/>
      <w:r w:rsidRPr="00AF77B7">
        <w:rPr>
          <w:rFonts w:ascii="Times New Roman" w:hAnsi="Times New Roman" w:cs="Times New Roman"/>
          <w:i/>
        </w:rPr>
        <w:t>‘</w:t>
      </w:r>
      <w:r w:rsidRPr="00AF77B7">
        <w:rPr>
          <w:rFonts w:ascii="Times New Roman" w:hAnsi="Times New Roman" w:cs="Times New Roman"/>
        </w:rPr>
        <w:t xml:space="preserve"> since they cannot be rationally demonstrated. This is the general scheme of </w:t>
      </w:r>
      <w:proofErr w:type="spellStart"/>
      <w:r w:rsidRPr="00AF77B7">
        <w:rPr>
          <w:rFonts w:ascii="Times New Roman" w:hAnsi="Times New Roman" w:cs="Times New Roman"/>
          <w:i/>
        </w:rPr>
        <w:t>u</w:t>
      </w:r>
      <w:r>
        <w:rPr>
          <w:rFonts w:ascii="Times New Roman" w:hAnsi="Times New Roman" w:cs="Times New Roman"/>
          <w:i/>
        </w:rPr>
        <w:t>ṣ</w:t>
      </w:r>
      <w:r w:rsidRPr="00AF77B7">
        <w:rPr>
          <w:rFonts w:ascii="Times New Roman" w:hAnsi="Times New Roman" w:cs="Times New Roman"/>
          <w:i/>
        </w:rPr>
        <w:t>ūl</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dīn</w:t>
      </w:r>
      <w:proofErr w:type="spellEnd"/>
      <w:r w:rsidRPr="00AF77B7">
        <w:rPr>
          <w:rFonts w:ascii="Times New Roman" w:hAnsi="Times New Roman" w:cs="Times New Roman"/>
        </w:rPr>
        <w:t>:</w:t>
      </w:r>
    </w:p>
    <w:p w:rsidR="00D724EF" w:rsidRPr="00AF77B7" w:rsidRDefault="00D724EF" w:rsidP="00D724EF">
      <w:pPr>
        <w:pStyle w:val="ListeParagraf"/>
        <w:numPr>
          <w:ilvl w:val="0"/>
          <w:numId w:val="1"/>
        </w:numPr>
        <w:spacing w:after="120" w:line="240" w:lineRule="auto"/>
        <w:ind w:left="567" w:right="334"/>
        <w:jc w:val="both"/>
        <w:rPr>
          <w:rFonts w:ascii="Times New Roman" w:hAnsi="Times New Roman" w:cs="Times New Roman"/>
        </w:rPr>
      </w:pPr>
      <w:r w:rsidRPr="00AF77B7">
        <w:rPr>
          <w:rFonts w:ascii="Times New Roman" w:hAnsi="Times New Roman" w:cs="Times New Roman"/>
        </w:rPr>
        <w:t>Justified knowledge (</w:t>
      </w:r>
      <w:r w:rsidRPr="00AF77B7">
        <w:rPr>
          <w:rFonts w:ascii="Times New Roman" w:hAnsi="Times New Roman" w:cs="Times New Roman"/>
          <w:i/>
        </w:rPr>
        <w:t>al-‘</w:t>
      </w:r>
      <w:proofErr w:type="spellStart"/>
      <w:r w:rsidRPr="00AF77B7">
        <w:rPr>
          <w:rFonts w:ascii="Times New Roman" w:hAnsi="Times New Roman" w:cs="Times New Roman"/>
          <w:i/>
        </w:rPr>
        <w:t>ilm</w:t>
      </w:r>
      <w:proofErr w:type="spellEnd"/>
      <w:r w:rsidRPr="00AF77B7">
        <w:rPr>
          <w:rFonts w:ascii="Times New Roman" w:hAnsi="Times New Roman" w:cs="Times New Roman"/>
        </w:rPr>
        <w:t>) and speculative reasoning (</w:t>
      </w:r>
      <w:r w:rsidRPr="00AF77B7">
        <w:rPr>
          <w:rFonts w:ascii="Times New Roman" w:hAnsi="Times New Roman" w:cs="Times New Roman"/>
          <w:i/>
        </w:rPr>
        <w:t>al-</w:t>
      </w:r>
      <w:proofErr w:type="spellStart"/>
      <w:r w:rsidRPr="00AF77B7">
        <w:rPr>
          <w:rFonts w:ascii="Times New Roman" w:hAnsi="Times New Roman" w:cs="Times New Roman"/>
          <w:i/>
        </w:rPr>
        <w:t>jadal</w:t>
      </w:r>
      <w:proofErr w:type="spellEnd"/>
      <w:r w:rsidRPr="00AF77B7">
        <w:rPr>
          <w:rFonts w:ascii="Times New Roman" w:hAnsi="Times New Roman" w:cs="Times New Roman"/>
        </w:rPr>
        <w:t xml:space="preserve"> or </w:t>
      </w:r>
      <w:r w:rsidRPr="00AF77B7">
        <w:rPr>
          <w:rFonts w:ascii="Times New Roman" w:hAnsi="Times New Roman" w:cs="Times New Roman"/>
          <w:i/>
        </w:rPr>
        <w:t>al-</w:t>
      </w:r>
      <w:proofErr w:type="spellStart"/>
      <w:r w:rsidRPr="00AF77B7">
        <w:rPr>
          <w:rFonts w:ascii="Times New Roman" w:hAnsi="Times New Roman" w:cs="Times New Roman"/>
          <w:i/>
        </w:rPr>
        <w:t>nazar</w:t>
      </w:r>
      <w:proofErr w:type="spellEnd"/>
      <w:r w:rsidRPr="00AF77B7">
        <w:rPr>
          <w:rFonts w:ascii="Times New Roman" w:hAnsi="Times New Roman" w:cs="Times New Roman"/>
        </w:rPr>
        <w:t>).</w:t>
      </w:r>
    </w:p>
    <w:p w:rsidR="00D724EF" w:rsidRPr="00AF77B7" w:rsidRDefault="00D724EF" w:rsidP="00D724EF">
      <w:pPr>
        <w:pStyle w:val="ListeParagraf"/>
        <w:numPr>
          <w:ilvl w:val="0"/>
          <w:numId w:val="1"/>
        </w:numPr>
        <w:spacing w:after="120" w:line="240" w:lineRule="auto"/>
        <w:ind w:left="567" w:right="334"/>
        <w:jc w:val="both"/>
        <w:rPr>
          <w:rFonts w:ascii="Times New Roman" w:hAnsi="Times New Roman" w:cs="Times New Roman"/>
        </w:rPr>
      </w:pPr>
      <w:r w:rsidRPr="00AF77B7">
        <w:rPr>
          <w:rFonts w:ascii="Times New Roman" w:hAnsi="Times New Roman" w:cs="Times New Roman"/>
        </w:rPr>
        <w:t>Proof of the existence of the Creator and His attributes.</w:t>
      </w:r>
    </w:p>
    <w:p w:rsidR="00D724EF" w:rsidRPr="00AF77B7" w:rsidRDefault="00D724EF" w:rsidP="00D724EF">
      <w:pPr>
        <w:pStyle w:val="ListeParagraf"/>
        <w:numPr>
          <w:ilvl w:val="0"/>
          <w:numId w:val="1"/>
        </w:numPr>
        <w:spacing w:after="120" w:line="240" w:lineRule="auto"/>
        <w:ind w:left="567" w:right="334"/>
        <w:jc w:val="both"/>
        <w:rPr>
          <w:rFonts w:ascii="Times New Roman" w:hAnsi="Times New Roman" w:cs="Times New Roman"/>
        </w:rPr>
      </w:pPr>
      <w:r w:rsidRPr="00AF77B7">
        <w:rPr>
          <w:rFonts w:ascii="Times New Roman" w:hAnsi="Times New Roman" w:cs="Times New Roman"/>
        </w:rPr>
        <w:t>God’s governance of the world and the ontological status of human agency (</w:t>
      </w:r>
      <w:r w:rsidRPr="00AF77B7">
        <w:rPr>
          <w:rFonts w:ascii="Times New Roman" w:hAnsi="Times New Roman" w:cs="Times New Roman"/>
          <w:i/>
        </w:rPr>
        <w:t>al-</w:t>
      </w:r>
      <w:proofErr w:type="spellStart"/>
      <w:r w:rsidRPr="00AF77B7">
        <w:rPr>
          <w:rFonts w:ascii="Times New Roman" w:hAnsi="Times New Roman" w:cs="Times New Roman"/>
          <w:i/>
        </w:rPr>
        <w:t>qadā</w:t>
      </w:r>
      <w:proofErr w:type="spellEnd"/>
      <w:r w:rsidRPr="00AF77B7">
        <w:rPr>
          <w:rFonts w:ascii="Times New Roman" w:hAnsi="Times New Roman" w:cs="Times New Roman"/>
          <w:i/>
        </w:rPr>
        <w:t xml:space="preserve">’ </w:t>
      </w:r>
      <w:proofErr w:type="spellStart"/>
      <w:r w:rsidRPr="00AF77B7">
        <w:rPr>
          <w:rFonts w:ascii="Times New Roman" w:hAnsi="Times New Roman" w:cs="Times New Roman"/>
          <w:i/>
        </w:rPr>
        <w:t>wal-qadar</w:t>
      </w:r>
      <w:proofErr w:type="spellEnd"/>
      <w:r w:rsidRPr="00AF77B7">
        <w:rPr>
          <w:rFonts w:ascii="Times New Roman" w:hAnsi="Times New Roman" w:cs="Times New Roman"/>
        </w:rPr>
        <w:t xml:space="preserve"> or </w:t>
      </w:r>
      <w:proofErr w:type="spellStart"/>
      <w:r w:rsidRPr="00AF77B7">
        <w:rPr>
          <w:rFonts w:ascii="Times New Roman" w:hAnsi="Times New Roman" w:cs="Times New Roman"/>
          <w:i/>
        </w:rPr>
        <w:t>halq</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af‘al</w:t>
      </w:r>
      <w:proofErr w:type="spellEnd"/>
      <w:r w:rsidRPr="00AF77B7">
        <w:rPr>
          <w:rFonts w:ascii="Times New Roman" w:hAnsi="Times New Roman" w:cs="Times New Roman"/>
        </w:rPr>
        <w:t>)</w:t>
      </w:r>
    </w:p>
    <w:p w:rsidR="00D724EF" w:rsidRPr="00AF77B7" w:rsidRDefault="00D724EF" w:rsidP="00D724EF">
      <w:pPr>
        <w:pStyle w:val="ListeParagraf"/>
        <w:numPr>
          <w:ilvl w:val="0"/>
          <w:numId w:val="1"/>
        </w:numPr>
        <w:spacing w:after="120" w:line="240" w:lineRule="auto"/>
        <w:ind w:left="567" w:right="334"/>
        <w:jc w:val="both"/>
        <w:rPr>
          <w:rFonts w:ascii="Times New Roman" w:hAnsi="Times New Roman" w:cs="Times New Roman"/>
        </w:rPr>
      </w:pPr>
      <w:r w:rsidRPr="00AF77B7">
        <w:rPr>
          <w:rFonts w:ascii="Times New Roman" w:hAnsi="Times New Roman" w:cs="Times New Roman"/>
        </w:rPr>
        <w:t>Prophets and questions related to Prophetic revelation.</w:t>
      </w:r>
    </w:p>
    <w:p w:rsidR="00D724EF" w:rsidRPr="00AF77B7" w:rsidRDefault="00D724EF" w:rsidP="00D724EF">
      <w:pPr>
        <w:pStyle w:val="ListeParagraf"/>
        <w:numPr>
          <w:ilvl w:val="0"/>
          <w:numId w:val="1"/>
        </w:numPr>
        <w:spacing w:after="120" w:line="240" w:lineRule="auto"/>
        <w:ind w:left="567" w:right="334"/>
        <w:jc w:val="both"/>
        <w:rPr>
          <w:rFonts w:ascii="Times New Roman" w:hAnsi="Times New Roman" w:cs="Times New Roman"/>
        </w:rPr>
      </w:pPr>
      <w:r w:rsidRPr="00AF77B7">
        <w:rPr>
          <w:rFonts w:ascii="Times New Roman" w:hAnsi="Times New Roman" w:cs="Times New Roman"/>
        </w:rPr>
        <w:t>The world to come or resurrection.</w:t>
      </w:r>
    </w:p>
    <w:p w:rsidR="00D724EF" w:rsidRPr="00AF77B7" w:rsidRDefault="00D724EF" w:rsidP="00D724EF">
      <w:pPr>
        <w:pStyle w:val="ListeParagraf"/>
        <w:numPr>
          <w:ilvl w:val="0"/>
          <w:numId w:val="1"/>
        </w:numPr>
        <w:spacing w:after="120" w:line="240" w:lineRule="auto"/>
        <w:ind w:left="567" w:right="334"/>
        <w:jc w:val="both"/>
        <w:rPr>
          <w:rFonts w:ascii="Times New Roman" w:hAnsi="Times New Roman" w:cs="Times New Roman"/>
        </w:rPr>
      </w:pPr>
      <w:r w:rsidRPr="00AF77B7">
        <w:rPr>
          <w:rFonts w:ascii="Times New Roman" w:hAnsi="Times New Roman" w:cs="Times New Roman"/>
        </w:rPr>
        <w:t>The status of individuals and the order of society (</w:t>
      </w:r>
      <w:r w:rsidRPr="00AF77B7">
        <w:rPr>
          <w:rFonts w:ascii="Times New Roman" w:hAnsi="Times New Roman" w:cs="Times New Roman"/>
          <w:i/>
        </w:rPr>
        <w:t xml:space="preserve">al </w:t>
      </w:r>
      <w:proofErr w:type="spellStart"/>
      <w:r w:rsidRPr="00AF77B7">
        <w:rPr>
          <w:rFonts w:ascii="Times New Roman" w:hAnsi="Times New Roman" w:cs="Times New Roman"/>
          <w:i/>
        </w:rPr>
        <w:t>asmā’u</w:t>
      </w:r>
      <w:proofErr w:type="spellEnd"/>
      <w:r w:rsidRPr="00AF77B7">
        <w:rPr>
          <w:rFonts w:ascii="Times New Roman" w:hAnsi="Times New Roman" w:cs="Times New Roman"/>
          <w:i/>
        </w:rPr>
        <w:t xml:space="preserve"> </w:t>
      </w:r>
      <w:proofErr w:type="spellStart"/>
      <w:r w:rsidRPr="00AF77B7">
        <w:rPr>
          <w:rFonts w:ascii="Times New Roman" w:hAnsi="Times New Roman" w:cs="Times New Roman"/>
          <w:i/>
        </w:rPr>
        <w:t>wal-ahkām</w:t>
      </w:r>
      <w:proofErr w:type="spellEnd"/>
      <w:r w:rsidRPr="00AF77B7">
        <w:rPr>
          <w:rFonts w:ascii="Times New Roman" w:hAnsi="Times New Roman" w:cs="Times New Roman"/>
          <w:i/>
        </w:rPr>
        <w:t>, al-</w:t>
      </w:r>
      <w:proofErr w:type="spellStart"/>
      <w:r w:rsidRPr="00AF77B7">
        <w:rPr>
          <w:rFonts w:ascii="Times New Roman" w:hAnsi="Times New Roman" w:cs="Times New Roman"/>
          <w:i/>
        </w:rPr>
        <w:t>ta’dīl</w:t>
      </w:r>
      <w:proofErr w:type="spellEnd"/>
      <w:r w:rsidRPr="00AF77B7">
        <w:rPr>
          <w:rFonts w:ascii="Times New Roman" w:hAnsi="Times New Roman" w:cs="Times New Roman"/>
          <w:i/>
        </w:rPr>
        <w:t xml:space="preserve"> </w:t>
      </w:r>
      <w:proofErr w:type="spellStart"/>
      <w:r w:rsidRPr="00AF77B7">
        <w:rPr>
          <w:rFonts w:ascii="Times New Roman" w:hAnsi="Times New Roman" w:cs="Times New Roman"/>
          <w:i/>
        </w:rPr>
        <w:t>ve</w:t>
      </w:r>
      <w:proofErr w:type="spellEnd"/>
      <w:r w:rsidRPr="00AF77B7">
        <w:rPr>
          <w:rFonts w:ascii="Times New Roman" w:hAnsi="Times New Roman" w:cs="Times New Roman"/>
          <w:i/>
        </w:rPr>
        <w:t xml:space="preserve"> </w:t>
      </w:r>
      <w:proofErr w:type="spellStart"/>
      <w:r w:rsidRPr="00AF77B7">
        <w:rPr>
          <w:rFonts w:ascii="Times New Roman" w:hAnsi="Times New Roman" w:cs="Times New Roman"/>
          <w:i/>
        </w:rPr>
        <w:t>tajwīr</w:t>
      </w:r>
      <w:proofErr w:type="spellEnd"/>
      <w:r w:rsidRPr="00AF77B7">
        <w:rPr>
          <w:rFonts w:ascii="Times New Roman" w:hAnsi="Times New Roman" w:cs="Times New Roman"/>
          <w:i/>
        </w:rPr>
        <w:t>, al-</w:t>
      </w:r>
      <w:proofErr w:type="spellStart"/>
      <w:r w:rsidRPr="00AF77B7">
        <w:rPr>
          <w:rFonts w:ascii="Times New Roman" w:hAnsi="Times New Roman" w:cs="Times New Roman"/>
          <w:i/>
        </w:rPr>
        <w:t>imāma</w:t>
      </w:r>
      <w:proofErr w:type="spellEnd"/>
      <w:r w:rsidRPr="00AF77B7">
        <w:rPr>
          <w:rFonts w:ascii="Times New Roman" w:hAnsi="Times New Roman" w:cs="Times New Roman"/>
        </w:rPr>
        <w:t>, etc.).</w:t>
      </w:r>
    </w:p>
    <w:p w:rsidR="00D724EF" w:rsidRPr="00AF77B7" w:rsidRDefault="00D724EF" w:rsidP="00D724EF">
      <w:pPr>
        <w:spacing w:after="120" w:line="240" w:lineRule="auto"/>
        <w:ind w:left="567" w:right="334"/>
        <w:jc w:val="both"/>
        <w:rPr>
          <w:rFonts w:ascii="Times New Roman" w:hAnsi="Times New Roman" w:cs="Times New Roman"/>
        </w:rPr>
      </w:pPr>
      <w:proofErr w:type="spellStart"/>
      <w:r>
        <w:rPr>
          <w:rFonts w:ascii="Times New Roman" w:hAnsi="Times New Roman" w:cs="Times New Roman"/>
        </w:rPr>
        <w:t>Kalām</w:t>
      </w:r>
      <w:proofErr w:type="spellEnd"/>
      <w:r w:rsidRPr="00AF77B7">
        <w:rPr>
          <w:rFonts w:ascii="Times New Roman" w:hAnsi="Times New Roman" w:cs="Times New Roman"/>
        </w:rPr>
        <w:t xml:space="preserve"> or Muslim Theology is the forerunner to, and foundation for, Islamic thought. When compared with other Islamic sciences, </w:t>
      </w:r>
      <w:proofErr w:type="spellStart"/>
      <w:r>
        <w:rPr>
          <w:rFonts w:ascii="Times New Roman" w:hAnsi="Times New Roman" w:cs="Times New Roman"/>
        </w:rPr>
        <w:t>Kalām</w:t>
      </w:r>
      <w:proofErr w:type="spellEnd"/>
      <w:r w:rsidRPr="00AF77B7">
        <w:rPr>
          <w:rFonts w:ascii="Times New Roman" w:hAnsi="Times New Roman" w:cs="Times New Roman"/>
        </w:rPr>
        <w:t xml:space="preserve"> by far the earliest one to arise because it relates to the very core of religion, i.e., faith and deed. As it was put forward by Ibn </w:t>
      </w:r>
      <w:proofErr w:type="spellStart"/>
      <w:r w:rsidRPr="00AF77B7">
        <w:rPr>
          <w:rFonts w:ascii="Times New Roman" w:hAnsi="Times New Roman" w:cs="Times New Roman"/>
        </w:rPr>
        <w:t>Khald</w:t>
      </w:r>
      <w:r>
        <w:rPr>
          <w:rFonts w:ascii="Times New Roman" w:hAnsi="Times New Roman" w:cs="Times New Roman"/>
        </w:rPr>
        <w:t>ū</w:t>
      </w:r>
      <w:r w:rsidRPr="00AF77B7">
        <w:rPr>
          <w:rFonts w:ascii="Times New Roman" w:hAnsi="Times New Roman" w:cs="Times New Roman"/>
        </w:rPr>
        <w:t>n</w:t>
      </w:r>
      <w:proofErr w:type="spellEnd"/>
      <w:r w:rsidRPr="00AF77B7">
        <w:rPr>
          <w:rFonts w:ascii="Times New Roman" w:hAnsi="Times New Roman" w:cs="Times New Roman"/>
        </w:rPr>
        <w:t xml:space="preserve">, contrary to </w:t>
      </w:r>
      <w:proofErr w:type="spellStart"/>
      <w:r w:rsidRPr="00AF77B7">
        <w:rPr>
          <w:rFonts w:ascii="Times New Roman" w:hAnsi="Times New Roman" w:cs="Times New Roman"/>
        </w:rPr>
        <w:t>Fiqh</w:t>
      </w:r>
      <w:proofErr w:type="spellEnd"/>
      <w:r w:rsidRPr="00AF77B7">
        <w:rPr>
          <w:rFonts w:ascii="Times New Roman" w:hAnsi="Times New Roman" w:cs="Times New Roman"/>
        </w:rPr>
        <w:t xml:space="preserve"> that is related to bodily commitments of the faithful, </w:t>
      </w:r>
      <w:proofErr w:type="spellStart"/>
      <w:r>
        <w:rPr>
          <w:rFonts w:ascii="Times New Roman" w:hAnsi="Times New Roman" w:cs="Times New Roman"/>
        </w:rPr>
        <w:t>Kalām</w:t>
      </w:r>
      <w:proofErr w:type="spellEnd"/>
      <w:r w:rsidRPr="00AF77B7">
        <w:rPr>
          <w:rFonts w:ascii="Times New Roman" w:hAnsi="Times New Roman" w:cs="Times New Roman"/>
        </w:rPr>
        <w:t xml:space="preserve"> is related to the commitments of heart such as the articles of faith which deal with the essence and the attributes of God, resurrection, paradise, punishment and predestination. And </w:t>
      </w:r>
      <w:proofErr w:type="spellStart"/>
      <w:r>
        <w:rPr>
          <w:rFonts w:ascii="Times New Roman" w:hAnsi="Times New Roman" w:cs="Times New Roman"/>
        </w:rPr>
        <w:t>Kalām</w:t>
      </w:r>
      <w:proofErr w:type="spellEnd"/>
      <w:r w:rsidRPr="00AF77B7">
        <w:rPr>
          <w:rFonts w:ascii="Times New Roman" w:hAnsi="Times New Roman" w:cs="Times New Roman"/>
        </w:rPr>
        <w:t xml:space="preserve"> entails discussion and defense of these subjects with the help of intellectual arguments.</w:t>
      </w:r>
      <w:r w:rsidRPr="00AF77B7">
        <w:rPr>
          <w:rStyle w:val="DipnotBavurusu"/>
          <w:rFonts w:ascii="Times New Roman" w:hAnsi="Times New Roman" w:cs="Times New Roman"/>
        </w:rPr>
        <w:footnoteReference w:id="1"/>
      </w:r>
      <w:r w:rsidRPr="00AF77B7">
        <w:rPr>
          <w:rFonts w:ascii="Times New Roman" w:hAnsi="Times New Roman" w:cs="Times New Roman"/>
        </w:rPr>
        <w:t xml:space="preserve"> Therefore, </w:t>
      </w:r>
      <w:r>
        <w:rPr>
          <w:rFonts w:ascii="Times New Roman" w:hAnsi="Times New Roman" w:cs="Times New Roman"/>
        </w:rPr>
        <w:t xml:space="preserve">Ibn </w:t>
      </w:r>
      <w:proofErr w:type="spellStart"/>
      <w:r>
        <w:rPr>
          <w:rFonts w:ascii="Times New Roman" w:hAnsi="Times New Roman" w:cs="Times New Roman"/>
        </w:rPr>
        <w:t>Khaldūn</w:t>
      </w:r>
      <w:proofErr w:type="spellEnd"/>
      <w:r>
        <w:rPr>
          <w:rFonts w:ascii="Times New Roman" w:hAnsi="Times New Roman" w:cs="Times New Roman"/>
        </w:rPr>
        <w:t xml:space="preserve"> </w:t>
      </w:r>
      <w:r w:rsidRPr="00AF77B7">
        <w:rPr>
          <w:rFonts w:ascii="Times New Roman" w:hAnsi="Times New Roman" w:cs="Times New Roman"/>
        </w:rPr>
        <w:t xml:space="preserve">considers </w:t>
      </w:r>
      <w:proofErr w:type="spellStart"/>
      <w:r>
        <w:rPr>
          <w:rFonts w:ascii="Times New Roman" w:hAnsi="Times New Roman" w:cs="Times New Roman"/>
        </w:rPr>
        <w:t>Kalām</w:t>
      </w:r>
      <w:proofErr w:type="spellEnd"/>
      <w:r w:rsidRPr="00AF77B7">
        <w:rPr>
          <w:rFonts w:ascii="Times New Roman" w:hAnsi="Times New Roman" w:cs="Times New Roman"/>
        </w:rPr>
        <w:t xml:space="preserve"> the first Islamic science to arise and attributes a primacy to it over other Islamic sciences. </w:t>
      </w:r>
    </w:p>
    <w:p w:rsidR="00D724EF" w:rsidRPr="00AF77B7" w:rsidRDefault="00D724EF" w:rsidP="00D724EF">
      <w:pPr>
        <w:spacing w:after="120" w:line="240" w:lineRule="auto"/>
        <w:ind w:left="567" w:right="334"/>
        <w:jc w:val="both"/>
        <w:rPr>
          <w:rFonts w:ascii="Times New Roman" w:hAnsi="Times New Roman" w:cs="Times New Roman"/>
        </w:rPr>
      </w:pPr>
    </w:p>
    <w:p w:rsidR="00D724EF" w:rsidRPr="00AF77B7" w:rsidRDefault="00D724EF" w:rsidP="00D724EF">
      <w:pPr>
        <w:spacing w:after="120" w:line="240" w:lineRule="auto"/>
        <w:ind w:left="567" w:right="334"/>
        <w:jc w:val="both"/>
        <w:rPr>
          <w:rFonts w:ascii="Times New Roman" w:hAnsi="Times New Roman" w:cs="Times New Roman"/>
          <w:b/>
        </w:rPr>
      </w:pPr>
      <w:r w:rsidRPr="00AF77B7">
        <w:rPr>
          <w:rFonts w:ascii="Times New Roman" w:hAnsi="Times New Roman" w:cs="Times New Roman"/>
          <w:b/>
        </w:rPr>
        <w:t xml:space="preserve">Method in </w:t>
      </w:r>
      <w:proofErr w:type="spellStart"/>
      <w:r>
        <w:rPr>
          <w:rFonts w:ascii="Times New Roman" w:hAnsi="Times New Roman" w:cs="Times New Roman"/>
          <w:b/>
          <w:i/>
        </w:rPr>
        <w:t>Kalām</w:t>
      </w:r>
      <w:proofErr w:type="spellEnd"/>
    </w:p>
    <w:p w:rsidR="00D724EF" w:rsidRPr="00AF77B7" w:rsidRDefault="00D724EF" w:rsidP="00D724EF">
      <w:pPr>
        <w:spacing w:after="120" w:line="240" w:lineRule="auto"/>
        <w:ind w:left="567" w:right="334"/>
        <w:jc w:val="both"/>
        <w:rPr>
          <w:rFonts w:ascii="Times New Roman" w:hAnsi="Times New Roman" w:cs="Times New Roman"/>
        </w:rPr>
      </w:pPr>
      <w:r w:rsidRPr="00AF77B7">
        <w:rPr>
          <w:rFonts w:ascii="Times New Roman" w:hAnsi="Times New Roman" w:cs="Times New Roman"/>
        </w:rPr>
        <w:lastRenderedPageBreak/>
        <w:t xml:space="preserve">Islam in fact knew two theologies. The first was the Greeks’ science about God, often called metaphysics. The second was what was called </w:t>
      </w:r>
      <w:proofErr w:type="spellStart"/>
      <w:r>
        <w:rPr>
          <w:rFonts w:ascii="Times New Roman" w:hAnsi="Times New Roman" w:cs="Times New Roman"/>
        </w:rPr>
        <w:t>Kalām</w:t>
      </w:r>
      <w:proofErr w:type="spellEnd"/>
      <w:r w:rsidRPr="00AF77B7">
        <w:rPr>
          <w:rFonts w:ascii="Times New Roman" w:hAnsi="Times New Roman" w:cs="Times New Roman"/>
        </w:rPr>
        <w:t xml:space="preserve"> or dialectical theology. Unlike metaphysics which began with the premises of pure reason, </w:t>
      </w:r>
      <w:proofErr w:type="spellStart"/>
      <w:r>
        <w:rPr>
          <w:rFonts w:ascii="Times New Roman" w:hAnsi="Times New Roman" w:cs="Times New Roman"/>
        </w:rPr>
        <w:t>Kalām</w:t>
      </w:r>
      <w:proofErr w:type="spellEnd"/>
      <w:r w:rsidRPr="00AF77B7">
        <w:rPr>
          <w:rFonts w:ascii="Times New Roman" w:hAnsi="Times New Roman" w:cs="Times New Roman"/>
        </w:rPr>
        <w:t xml:space="preserve"> takes the premises of revelation as its starting point and attempt to demonstrate dialectically and reasonably the conclusions that </w:t>
      </w:r>
      <w:r>
        <w:rPr>
          <w:rFonts w:ascii="Times New Roman" w:hAnsi="Times New Roman" w:cs="Times New Roman"/>
        </w:rPr>
        <w:t>followed</w:t>
      </w:r>
      <w:r w:rsidRPr="00AF77B7">
        <w:rPr>
          <w:rFonts w:ascii="Times New Roman" w:hAnsi="Times New Roman" w:cs="Times New Roman"/>
        </w:rPr>
        <w:t xml:space="preserve"> from them. So in describing </w:t>
      </w:r>
      <w:proofErr w:type="spellStart"/>
      <w:r>
        <w:rPr>
          <w:rFonts w:ascii="Times New Roman" w:hAnsi="Times New Roman" w:cs="Times New Roman"/>
        </w:rPr>
        <w:t>Kalām</w:t>
      </w:r>
      <w:proofErr w:type="spellEnd"/>
      <w:r w:rsidRPr="00AF77B7">
        <w:rPr>
          <w:rFonts w:ascii="Times New Roman" w:hAnsi="Times New Roman" w:cs="Times New Roman"/>
        </w:rPr>
        <w:t xml:space="preserve">, we see the Holy Qur’an as its subject matter and intellectual arguments as its method. It bases itself on rational and Qur’anic principles. It deduces </w:t>
      </w:r>
      <w:proofErr w:type="spellStart"/>
      <w:r w:rsidRPr="00AF77B7">
        <w:rPr>
          <w:rFonts w:ascii="Times New Roman" w:hAnsi="Times New Roman" w:cs="Times New Roman"/>
        </w:rPr>
        <w:t>credal</w:t>
      </w:r>
      <w:proofErr w:type="spellEnd"/>
      <w:r w:rsidRPr="00AF77B7">
        <w:rPr>
          <w:rFonts w:ascii="Times New Roman" w:hAnsi="Times New Roman" w:cs="Times New Roman"/>
        </w:rPr>
        <w:t xml:space="preserve"> principles from the Holy Qur’an and bases them on reason so that they could be conceived by all. In other words, </w:t>
      </w:r>
      <w:proofErr w:type="spellStart"/>
      <w:r>
        <w:rPr>
          <w:rFonts w:ascii="Times New Roman" w:hAnsi="Times New Roman" w:cs="Times New Roman"/>
        </w:rPr>
        <w:t>Kalām</w:t>
      </w:r>
      <w:proofErr w:type="spellEnd"/>
      <w:r w:rsidRPr="00AF77B7">
        <w:rPr>
          <w:rFonts w:ascii="Times New Roman" w:hAnsi="Times New Roman" w:cs="Times New Roman"/>
        </w:rPr>
        <w:t xml:space="preserve"> explains these principles, argues about them and defends them. </w:t>
      </w:r>
    </w:p>
    <w:p w:rsidR="00747F29" w:rsidRDefault="00D724EF" w:rsidP="00D724EF">
      <w:pPr>
        <w:rPr>
          <w:rFonts w:ascii="Times New Roman" w:hAnsi="Times New Roman" w:cs="Times New Roman"/>
        </w:rPr>
      </w:pPr>
      <w:r w:rsidRPr="00AF77B7">
        <w:rPr>
          <w:rFonts w:ascii="Times New Roman" w:hAnsi="Times New Roman" w:cs="Times New Roman"/>
        </w:rPr>
        <w:t>Cons</w:t>
      </w:r>
      <w:r>
        <w:rPr>
          <w:rFonts w:ascii="Times New Roman" w:hAnsi="Times New Roman" w:cs="Times New Roman"/>
        </w:rPr>
        <w:t>idering both its subject matter</w:t>
      </w:r>
      <w:r w:rsidRPr="00AF77B7">
        <w:rPr>
          <w:rFonts w:ascii="Times New Roman" w:hAnsi="Times New Roman" w:cs="Times New Roman"/>
        </w:rPr>
        <w:t xml:space="preserve"> and method, </w:t>
      </w:r>
      <w:proofErr w:type="spellStart"/>
      <w:r>
        <w:rPr>
          <w:rFonts w:ascii="Times New Roman" w:hAnsi="Times New Roman" w:cs="Times New Roman"/>
          <w:i/>
        </w:rPr>
        <w:t>Kalām</w:t>
      </w:r>
      <w:proofErr w:type="spellEnd"/>
      <w:r w:rsidRPr="00AF77B7">
        <w:rPr>
          <w:rFonts w:ascii="Times New Roman" w:hAnsi="Times New Roman" w:cs="Times New Roman"/>
          <w:i/>
        </w:rPr>
        <w:t xml:space="preserve"> </w:t>
      </w:r>
      <w:r>
        <w:rPr>
          <w:rFonts w:ascii="Times New Roman" w:hAnsi="Times New Roman" w:cs="Times New Roman"/>
        </w:rPr>
        <w:t>is called ‘</w:t>
      </w:r>
      <w:r w:rsidRPr="00AF77B7">
        <w:rPr>
          <w:rFonts w:ascii="Times New Roman" w:hAnsi="Times New Roman" w:cs="Times New Roman"/>
        </w:rPr>
        <w:t>the speculative science,</w:t>
      </w:r>
      <w:r>
        <w:rPr>
          <w:rFonts w:ascii="Times New Roman" w:hAnsi="Times New Roman" w:cs="Times New Roman"/>
        </w:rPr>
        <w:t>’ ‘</w:t>
      </w:r>
      <w:r w:rsidRPr="00AF77B7">
        <w:rPr>
          <w:rFonts w:ascii="Times New Roman" w:hAnsi="Times New Roman" w:cs="Times New Roman"/>
        </w:rPr>
        <w:t>dialectical sci</w:t>
      </w:r>
      <w:r>
        <w:rPr>
          <w:rFonts w:ascii="Times New Roman" w:hAnsi="Times New Roman" w:cs="Times New Roman"/>
        </w:rPr>
        <w:t>ence,’ or ‘</w:t>
      </w:r>
      <w:r w:rsidRPr="00AF77B7">
        <w:rPr>
          <w:rFonts w:ascii="Times New Roman" w:hAnsi="Times New Roman" w:cs="Times New Roman"/>
        </w:rPr>
        <w:t>the rational science.</w:t>
      </w:r>
      <w:r>
        <w:rPr>
          <w:rFonts w:ascii="Times New Roman" w:hAnsi="Times New Roman" w:cs="Times New Roman"/>
        </w:rPr>
        <w:t>’</w:t>
      </w:r>
      <w:r w:rsidRPr="00AF77B7">
        <w:rPr>
          <w:rFonts w:ascii="Times New Roman" w:hAnsi="Times New Roman" w:cs="Times New Roman"/>
        </w:rPr>
        <w:t xml:space="preserve"> If directly refers to a priori premises or rational arguments, </w:t>
      </w:r>
      <w:proofErr w:type="spellStart"/>
      <w:r>
        <w:rPr>
          <w:rFonts w:ascii="Times New Roman" w:hAnsi="Times New Roman" w:cs="Times New Roman"/>
        </w:rPr>
        <w:t>kalām</w:t>
      </w:r>
      <w:r w:rsidRPr="00AF77B7">
        <w:rPr>
          <w:rFonts w:ascii="Times New Roman" w:hAnsi="Times New Roman" w:cs="Times New Roman"/>
        </w:rPr>
        <w:t>’s</w:t>
      </w:r>
      <w:proofErr w:type="spellEnd"/>
      <w:r w:rsidRPr="00AF77B7">
        <w:rPr>
          <w:rFonts w:ascii="Times New Roman" w:hAnsi="Times New Roman" w:cs="Times New Roman"/>
        </w:rPr>
        <w:t xml:space="preserve"> method is considered ‘rational,’ and ‘demonstrative truth’ (</w:t>
      </w:r>
      <w:proofErr w:type="spellStart"/>
      <w:r w:rsidRPr="00AF77B7">
        <w:rPr>
          <w:rFonts w:ascii="Times New Roman" w:hAnsi="Times New Roman" w:cs="Times New Roman"/>
          <w:i/>
        </w:rPr>
        <w:t>burhanī</w:t>
      </w:r>
      <w:proofErr w:type="spellEnd"/>
      <w:r w:rsidRPr="00AF77B7">
        <w:rPr>
          <w:rFonts w:ascii="Times New Roman" w:hAnsi="Times New Roman" w:cs="Times New Roman"/>
        </w:rPr>
        <w:t xml:space="preserve">). If it refers to the Holy Qur’an in its argumentations, then it is considered as ‘speculative,’ ‘rhetorical’ or ‘dialectical’ truth </w:t>
      </w:r>
      <w:r w:rsidRPr="006C06A7">
        <w:rPr>
          <w:rFonts w:ascii="Times New Roman" w:hAnsi="Times New Roman" w:cs="Times New Roman"/>
          <w:i/>
        </w:rPr>
        <w:t>(</w:t>
      </w:r>
      <w:proofErr w:type="spellStart"/>
      <w:r w:rsidRPr="006C06A7">
        <w:rPr>
          <w:rFonts w:ascii="Times New Roman" w:hAnsi="Times New Roman" w:cs="Times New Roman"/>
          <w:i/>
        </w:rPr>
        <w:t>hitābī</w:t>
      </w:r>
      <w:proofErr w:type="spellEnd"/>
      <w:r w:rsidRPr="006C06A7">
        <w:rPr>
          <w:rFonts w:ascii="Times New Roman" w:hAnsi="Times New Roman" w:cs="Times New Roman"/>
          <w:i/>
        </w:rPr>
        <w:t>)</w:t>
      </w:r>
      <w:r w:rsidRPr="00AF77B7">
        <w:rPr>
          <w:rFonts w:ascii="Times New Roman" w:hAnsi="Times New Roman" w:cs="Times New Roman"/>
        </w:rPr>
        <w:t xml:space="preserve">. Although they differs in their reference to reason and scripture, from this it comes out that </w:t>
      </w:r>
      <w:proofErr w:type="spellStart"/>
      <w:r w:rsidRPr="006C06A7">
        <w:rPr>
          <w:rFonts w:ascii="Times New Roman" w:hAnsi="Times New Roman" w:cs="Times New Roman"/>
          <w:i/>
        </w:rPr>
        <w:t>Mutakallimūn</w:t>
      </w:r>
      <w:proofErr w:type="spellEnd"/>
      <w:r w:rsidRPr="00AF77B7">
        <w:rPr>
          <w:rFonts w:ascii="Times New Roman" w:hAnsi="Times New Roman" w:cs="Times New Roman"/>
        </w:rPr>
        <w:t xml:space="preserve"> make use of both reason and s</w:t>
      </w:r>
      <w:r>
        <w:rPr>
          <w:rFonts w:ascii="Times New Roman" w:hAnsi="Times New Roman" w:cs="Times New Roman"/>
        </w:rPr>
        <w:t>cripture in their argumentation</w:t>
      </w:r>
      <w:r w:rsidRPr="00AF77B7">
        <w:rPr>
          <w:rFonts w:ascii="Times New Roman" w:hAnsi="Times New Roman" w:cs="Times New Roman"/>
        </w:rPr>
        <w:t xml:space="preserve">. Understandably, besides their commitment to the Scripture, </w:t>
      </w:r>
      <w:proofErr w:type="spellStart"/>
      <w:r w:rsidRPr="00AF77B7">
        <w:rPr>
          <w:rFonts w:ascii="Times New Roman" w:hAnsi="Times New Roman" w:cs="Times New Roman"/>
        </w:rPr>
        <w:t>mutakallimūn</w:t>
      </w:r>
      <w:proofErr w:type="spellEnd"/>
      <w:r w:rsidRPr="00AF77B7">
        <w:rPr>
          <w:rFonts w:ascii="Times New Roman" w:hAnsi="Times New Roman" w:cs="Times New Roman"/>
        </w:rPr>
        <w:t xml:space="preserve"> </w:t>
      </w:r>
      <w:r>
        <w:rPr>
          <w:rFonts w:ascii="Times New Roman" w:hAnsi="Times New Roman" w:cs="Times New Roman"/>
        </w:rPr>
        <w:t>were</w:t>
      </w:r>
      <w:r w:rsidRPr="00AF77B7">
        <w:rPr>
          <w:rFonts w:ascii="Times New Roman" w:hAnsi="Times New Roman" w:cs="Times New Roman"/>
        </w:rPr>
        <w:t xml:space="preserve"> very much celebrated for their free reasoning. This was both because they had to convince non-Muslims in their discussions on the one hand and they had to develop huge amount of evidence from the Holy Qur’an through reasoning on the other. That would finally render any evidence, be it ‘demonstrative truth’ (</w:t>
      </w:r>
      <w:proofErr w:type="spellStart"/>
      <w:r w:rsidRPr="00AF77B7">
        <w:rPr>
          <w:rFonts w:ascii="Times New Roman" w:hAnsi="Times New Roman" w:cs="Times New Roman"/>
          <w:i/>
        </w:rPr>
        <w:t>burhanī</w:t>
      </w:r>
      <w:proofErr w:type="spellEnd"/>
      <w:r w:rsidRPr="00AF77B7">
        <w:rPr>
          <w:rFonts w:ascii="Times New Roman" w:hAnsi="Times New Roman" w:cs="Times New Roman"/>
          <w:i/>
        </w:rPr>
        <w:t>)</w:t>
      </w:r>
      <w:r w:rsidRPr="00AF77B7">
        <w:rPr>
          <w:rFonts w:ascii="Times New Roman" w:hAnsi="Times New Roman" w:cs="Times New Roman"/>
        </w:rPr>
        <w:t xml:space="preserve"> or ‘dialectical’ truth (</w:t>
      </w:r>
      <w:proofErr w:type="spellStart"/>
      <w:r>
        <w:rPr>
          <w:rFonts w:ascii="Times New Roman" w:hAnsi="Times New Roman" w:cs="Times New Roman"/>
          <w:i/>
        </w:rPr>
        <w:t>kh</w:t>
      </w:r>
      <w:r w:rsidRPr="00AF77B7">
        <w:rPr>
          <w:rFonts w:ascii="Times New Roman" w:hAnsi="Times New Roman" w:cs="Times New Roman"/>
          <w:i/>
        </w:rPr>
        <w:t>itābī</w:t>
      </w:r>
      <w:proofErr w:type="spellEnd"/>
      <w:r w:rsidRPr="00AF77B7">
        <w:rPr>
          <w:rFonts w:ascii="Times New Roman" w:hAnsi="Times New Roman" w:cs="Times New Roman"/>
        </w:rPr>
        <w:t xml:space="preserve">) one and the same. As a result they concentrated on the meaning of the Scripture rather than its literal structure. So they were called as </w:t>
      </w:r>
      <w:proofErr w:type="spellStart"/>
      <w:r w:rsidRPr="00AF77B7">
        <w:rPr>
          <w:rFonts w:ascii="Times New Roman" w:hAnsi="Times New Roman" w:cs="Times New Roman"/>
          <w:i/>
        </w:rPr>
        <w:t>ahl</w:t>
      </w:r>
      <w:proofErr w:type="spellEnd"/>
      <w:r w:rsidRPr="00AF77B7">
        <w:rPr>
          <w:rFonts w:ascii="Times New Roman" w:hAnsi="Times New Roman" w:cs="Times New Roman"/>
          <w:i/>
        </w:rPr>
        <w:t xml:space="preserve"> al-</w:t>
      </w:r>
      <w:proofErr w:type="spellStart"/>
      <w:r w:rsidRPr="00AF77B7">
        <w:rPr>
          <w:rFonts w:ascii="Times New Roman" w:hAnsi="Times New Roman" w:cs="Times New Roman"/>
          <w:i/>
        </w:rPr>
        <w:t>ra’y</w:t>
      </w:r>
      <w:proofErr w:type="spellEnd"/>
      <w:r w:rsidRPr="00AF77B7">
        <w:rPr>
          <w:rFonts w:ascii="Times New Roman" w:hAnsi="Times New Roman" w:cs="Times New Roman"/>
        </w:rPr>
        <w:t xml:space="preserve">, those who are reasoning. As the </w:t>
      </w:r>
      <w:proofErr w:type="spellStart"/>
      <w:r w:rsidRPr="00AF77B7">
        <w:rPr>
          <w:rFonts w:ascii="Times New Roman" w:hAnsi="Times New Roman" w:cs="Times New Roman"/>
          <w:i/>
        </w:rPr>
        <w:t>Mutakallimūn</w:t>
      </w:r>
      <w:proofErr w:type="spellEnd"/>
      <w:r w:rsidRPr="00AF77B7">
        <w:rPr>
          <w:rFonts w:ascii="Times New Roman" w:hAnsi="Times New Roman" w:cs="Times New Roman"/>
        </w:rPr>
        <w:t xml:space="preserve"> considered the source of reason and revelation identical, they tried to make these two compatible with each other rather than clashing one another. Indeed the idea of </w:t>
      </w:r>
      <w:proofErr w:type="spellStart"/>
      <w:r w:rsidRPr="00AF77B7">
        <w:rPr>
          <w:rFonts w:ascii="Times New Roman" w:hAnsi="Times New Roman" w:cs="Times New Roman"/>
          <w:i/>
        </w:rPr>
        <w:t>tawhīd</w:t>
      </w:r>
      <w:proofErr w:type="spellEnd"/>
      <w:r w:rsidRPr="00AF77B7">
        <w:rPr>
          <w:rFonts w:ascii="Times New Roman" w:hAnsi="Times New Roman" w:cs="Times New Roman"/>
        </w:rPr>
        <w:t xml:space="preserve"> (literally </w:t>
      </w:r>
      <w:r w:rsidRPr="00AF77B7">
        <w:rPr>
          <w:rFonts w:ascii="Times New Roman" w:hAnsi="Times New Roman" w:cs="Times New Roman"/>
          <w:i/>
        </w:rPr>
        <w:t>unifying</w:t>
      </w:r>
      <w:r w:rsidRPr="00AF77B7">
        <w:rPr>
          <w:rFonts w:ascii="Times New Roman" w:hAnsi="Times New Roman" w:cs="Times New Roman"/>
        </w:rPr>
        <w:t xml:space="preserve">) requires this kind of compatibility and unification.  </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In the beginning there were various motivations behind theological discussions. Initially some inner-Islamic debates, which were mainly political created some questions to be answered. Fore and foremost of these were about the destiny of those who waged war against one another after the death of the Prophet. Although there was a warning in the Qur’an for the Muslims saying that “if </w:t>
      </w:r>
      <w:proofErr w:type="spellStart"/>
      <w:r>
        <w:rPr>
          <w:rFonts w:ascii="Times New Roman" w:hAnsi="Times New Roman" w:cs="Times New Roman"/>
        </w:rPr>
        <w:t>Muḥammad</w:t>
      </w:r>
      <w:proofErr w:type="spellEnd"/>
      <w:r>
        <w:rPr>
          <w:rFonts w:ascii="Times New Roman" w:hAnsi="Times New Roman" w:cs="Times New Roman"/>
        </w:rPr>
        <w:t xml:space="preserve"> died or were killed, will you then return back to your habits and practices prior to Islam” (</w:t>
      </w:r>
      <w:proofErr w:type="spellStart"/>
      <w:r>
        <w:rPr>
          <w:rFonts w:ascii="Times New Roman" w:hAnsi="Times New Roman" w:cs="Times New Roman"/>
        </w:rPr>
        <w:t>Āl-i</w:t>
      </w:r>
      <w:proofErr w:type="spellEnd"/>
      <w:r>
        <w:rPr>
          <w:rFonts w:ascii="Times New Roman" w:hAnsi="Times New Roman" w:cs="Times New Roman"/>
        </w:rPr>
        <w:t xml:space="preserve"> ‘</w:t>
      </w:r>
      <w:proofErr w:type="spellStart"/>
      <w:r>
        <w:rPr>
          <w:rFonts w:ascii="Times New Roman" w:hAnsi="Times New Roman" w:cs="Times New Roman"/>
        </w:rPr>
        <w:t>Imrān</w:t>
      </w:r>
      <w:proofErr w:type="spellEnd"/>
      <w:r>
        <w:rPr>
          <w:rFonts w:ascii="Times New Roman" w:hAnsi="Times New Roman" w:cs="Times New Roman"/>
        </w:rPr>
        <w:t xml:space="preserve"> 3.144), civil wars started among people as it were before Islam, and naturally many religious issues accompanied this course. So politically motivated problems at that time triggered many theological issues like the destiny of those who killed one another in these civil wars and the position of those people who committed a grave sin by delving into a mutual killing in this course. Although these problems were not religious but political in nature, religious terms were used by all parts to justify their positions. The practice of discussing political issues in religious context unfortunately triggered a false tradition which many times confused the religious issues with political ones and thus mistakenly turned the temporal political issues of the time into permanent ones. </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And secondly at the end of the second century after Hegira, Muslims had a territorial expansion, when they encountered various religions and cultures. And simultaneously discussions started concerning religious doctrines. Understandably it was no point reciting passages from the Holy Qur’an to those people who did not acknowledge it as a holy scripture. So Muslim scholars felt obliged to find a common ground, i.e. reason which would serve as an arbiter to judge between right and wrong. So they developed theological method which uses reason as a common ground to make the religious doctrine understandable and conceivable for all. So it can easily be concluded from these facts that </w:t>
      </w:r>
      <w:proofErr w:type="spellStart"/>
      <w:r>
        <w:rPr>
          <w:rFonts w:ascii="Times New Roman" w:hAnsi="Times New Roman" w:cs="Times New Roman"/>
        </w:rPr>
        <w:t>Kalām</w:t>
      </w:r>
      <w:proofErr w:type="spellEnd"/>
      <w:r>
        <w:rPr>
          <w:rFonts w:ascii="Times New Roman" w:hAnsi="Times New Roman" w:cs="Times New Roman"/>
        </w:rPr>
        <w:t xml:space="preserve"> gained some of its character in its debates with non-Muslim groups and their refutation like Manicheans, Christians, Jews who were the key neighboring religious doctrines at that time. This was carried out especially through </w:t>
      </w:r>
      <w:proofErr w:type="spellStart"/>
      <w:r>
        <w:rPr>
          <w:rFonts w:ascii="Times New Roman" w:hAnsi="Times New Roman" w:cs="Times New Roman"/>
        </w:rPr>
        <w:t>Mu’tazilite</w:t>
      </w:r>
      <w:proofErr w:type="spellEnd"/>
      <w:r>
        <w:rPr>
          <w:rFonts w:ascii="Times New Roman" w:hAnsi="Times New Roman" w:cs="Times New Roman"/>
        </w:rPr>
        <w:t xml:space="preserve"> theologians as a missionary activity. </w:t>
      </w:r>
      <w:r>
        <w:rPr>
          <w:rFonts w:ascii="Times New Roman" w:hAnsi="Times New Roman" w:cs="Times New Roman"/>
          <w:bCs/>
        </w:rPr>
        <w:t xml:space="preserve">There is no doubt that from the time of the first century of the hegira, the relationship between different religious groups exercised an influence on Muslim Theology by way of polemics. This led to </w:t>
      </w:r>
      <w:r>
        <w:rPr>
          <w:rFonts w:ascii="Times New Roman" w:hAnsi="Times New Roman" w:cs="Times New Roman"/>
          <w:bCs/>
        </w:rPr>
        <w:lastRenderedPageBreak/>
        <w:t>a similarity of problems and method rather than a similarity of solutions.</w:t>
      </w:r>
      <w:r>
        <w:rPr>
          <w:rFonts w:ascii="Times New Roman" w:hAnsi="Times New Roman" w:cs="Times New Roman"/>
        </w:rPr>
        <w:t xml:space="preserve"> So </w:t>
      </w:r>
      <w:proofErr w:type="spellStart"/>
      <w:r>
        <w:rPr>
          <w:rFonts w:ascii="Times New Roman" w:hAnsi="Times New Roman" w:cs="Times New Roman"/>
        </w:rPr>
        <w:t>Kalām</w:t>
      </w:r>
      <w:proofErr w:type="spellEnd"/>
      <w:r>
        <w:rPr>
          <w:rFonts w:ascii="Times New Roman" w:hAnsi="Times New Roman" w:cs="Times New Roman"/>
        </w:rPr>
        <w:t xml:space="preserve"> started not only as an inner-Islamic discussion when, mainly through political development, the self-confident naiveté of the early days, but also as an encounter with alien religions and cultures. </w:t>
      </w:r>
    </w:p>
    <w:p w:rsidR="001512E9" w:rsidRDefault="001512E9" w:rsidP="001512E9">
      <w:pPr>
        <w:spacing w:after="120" w:line="240" w:lineRule="auto"/>
        <w:ind w:left="567" w:right="334"/>
        <w:jc w:val="both"/>
        <w:rPr>
          <w:rFonts w:ascii="Times New Roman" w:hAnsi="Times New Roman" w:cs="Times New Roman"/>
          <w:b/>
        </w:rPr>
      </w:pPr>
      <w:r>
        <w:rPr>
          <w:rFonts w:ascii="Times New Roman" w:hAnsi="Times New Roman" w:cs="Times New Roman"/>
          <w:b/>
        </w:rPr>
        <w:t>The First Prominent Figures and Schools</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The above mentioned inner discussions in Muslim territory caused a hot debate between the rulers and scholars. Although many doctrinal problems were spoken out under the four caliphs, not until the Umayyad took over the caliphate that these problems were discussed in a systematic and argumentative way. The first man who talked publicly about the doctrine of the </w:t>
      </w:r>
      <w:proofErr w:type="spellStart"/>
      <w:r>
        <w:rPr>
          <w:rFonts w:ascii="Times New Roman" w:hAnsi="Times New Roman" w:cs="Times New Roman"/>
        </w:rPr>
        <w:t>Qadarites</w:t>
      </w:r>
      <w:proofErr w:type="spellEnd"/>
      <w:r>
        <w:rPr>
          <w:rFonts w:ascii="Times New Roman" w:hAnsi="Times New Roman" w:cs="Times New Roman"/>
        </w:rPr>
        <w:t xml:space="preserve"> was </w:t>
      </w:r>
      <w:proofErr w:type="spellStart"/>
      <w:r>
        <w:rPr>
          <w:rFonts w:ascii="Times New Roman" w:hAnsi="Times New Roman" w:cs="Times New Roman"/>
        </w:rPr>
        <w:t>Ma‘bad</w:t>
      </w:r>
      <w:proofErr w:type="spellEnd"/>
      <w:r>
        <w:rPr>
          <w:rFonts w:ascii="Times New Roman" w:hAnsi="Times New Roman" w:cs="Times New Roman"/>
        </w:rPr>
        <w:t xml:space="preserve"> al-</w:t>
      </w:r>
      <w:proofErr w:type="spellStart"/>
      <w:r>
        <w:rPr>
          <w:rFonts w:ascii="Times New Roman" w:hAnsi="Times New Roman" w:cs="Times New Roman"/>
        </w:rPr>
        <w:t>Juhanī</w:t>
      </w:r>
      <w:proofErr w:type="spellEnd"/>
      <w:r>
        <w:rPr>
          <w:rFonts w:ascii="Times New Roman" w:hAnsi="Times New Roman" w:cs="Times New Roman"/>
        </w:rPr>
        <w:t xml:space="preserve">. He lived in the early days of the </w:t>
      </w:r>
      <w:proofErr w:type="spellStart"/>
      <w:r>
        <w:rPr>
          <w:rFonts w:ascii="Times New Roman" w:hAnsi="Times New Roman" w:cs="Times New Roman"/>
        </w:rPr>
        <w:t>Umayyads</w:t>
      </w:r>
      <w:proofErr w:type="spellEnd"/>
      <w:r>
        <w:rPr>
          <w:rFonts w:ascii="Times New Roman" w:hAnsi="Times New Roman" w:cs="Times New Roman"/>
        </w:rPr>
        <w:t xml:space="preserve">, the brutal times when persistent persecutions for opponents were operated in the country for the Umayyad hegemony. But the rulers claimed that they were not responsible for what they did. It is God who does everything. Soon after the misinterpretation of some doctrinal verses by the Umayyad rulers, some leading adversary figures came up with challenging ideas. Historians report that </w:t>
      </w:r>
      <w:proofErr w:type="spellStart"/>
      <w:r>
        <w:rPr>
          <w:rFonts w:ascii="Times New Roman" w:hAnsi="Times New Roman" w:cs="Times New Roman"/>
        </w:rPr>
        <w:t>Ma‘bad</w:t>
      </w:r>
      <w:proofErr w:type="spellEnd"/>
      <w:r>
        <w:rPr>
          <w:rFonts w:ascii="Times New Roman" w:hAnsi="Times New Roman" w:cs="Times New Roman"/>
        </w:rPr>
        <w:t xml:space="preserve"> al-</w:t>
      </w:r>
      <w:proofErr w:type="spellStart"/>
      <w:r>
        <w:rPr>
          <w:rFonts w:ascii="Times New Roman" w:hAnsi="Times New Roman" w:cs="Times New Roman"/>
        </w:rPr>
        <w:t>Juhanī</w:t>
      </w:r>
      <w:proofErr w:type="spellEnd"/>
      <w:r>
        <w:rPr>
          <w:rFonts w:ascii="Times New Roman" w:hAnsi="Times New Roman" w:cs="Times New Roman"/>
        </w:rPr>
        <w:t xml:space="preserve"> was among these figures. They came one day to the reverend Muslim scholar </w:t>
      </w:r>
      <w:proofErr w:type="spellStart"/>
      <w:r>
        <w:rPr>
          <w:rFonts w:ascii="Times New Roman" w:hAnsi="Times New Roman" w:cs="Times New Roman"/>
        </w:rPr>
        <w:t>Ḥasan</w:t>
      </w:r>
      <w:proofErr w:type="spellEnd"/>
      <w:r>
        <w:rPr>
          <w:rFonts w:ascii="Times New Roman" w:hAnsi="Times New Roman" w:cs="Times New Roman"/>
        </w:rPr>
        <w:t xml:space="preserve"> al-</w:t>
      </w:r>
      <w:proofErr w:type="spellStart"/>
      <w:r>
        <w:rPr>
          <w:rFonts w:ascii="Times New Roman" w:hAnsi="Times New Roman" w:cs="Times New Roman"/>
        </w:rPr>
        <w:t>Basrī</w:t>
      </w:r>
      <w:proofErr w:type="spellEnd"/>
      <w:r>
        <w:rPr>
          <w:rFonts w:ascii="Times New Roman" w:hAnsi="Times New Roman" w:cs="Times New Roman"/>
        </w:rPr>
        <w:t xml:space="preserve"> and said: ‘O Abu </w:t>
      </w:r>
      <w:proofErr w:type="spellStart"/>
      <w:r>
        <w:rPr>
          <w:rFonts w:ascii="Times New Roman" w:hAnsi="Times New Roman" w:cs="Times New Roman"/>
        </w:rPr>
        <w:t>Sa‘īd</w:t>
      </w:r>
      <w:proofErr w:type="spellEnd"/>
      <w:r>
        <w:rPr>
          <w:rFonts w:ascii="Times New Roman" w:hAnsi="Times New Roman" w:cs="Times New Roman"/>
        </w:rPr>
        <w:t>, these rulers shed the blood of the Muslims and do grievous things and say that their works are by the decree of Allah.’</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To this </w:t>
      </w:r>
      <w:proofErr w:type="spellStart"/>
      <w:r>
        <w:rPr>
          <w:rFonts w:ascii="Times New Roman" w:hAnsi="Times New Roman" w:cs="Times New Roman"/>
        </w:rPr>
        <w:t>Ḥasan</w:t>
      </w:r>
      <w:proofErr w:type="spellEnd"/>
      <w:r>
        <w:rPr>
          <w:rFonts w:ascii="Times New Roman" w:hAnsi="Times New Roman" w:cs="Times New Roman"/>
        </w:rPr>
        <w:t xml:space="preserve"> replied: ‘The enemies of God, they are liars.’ Thus the first doctrine laid down by the early </w:t>
      </w:r>
      <w:proofErr w:type="spellStart"/>
      <w:r>
        <w:rPr>
          <w:rFonts w:ascii="Times New Roman" w:hAnsi="Times New Roman" w:cs="Times New Roman"/>
          <w:i/>
        </w:rPr>
        <w:t>mutakallimūn</w:t>
      </w:r>
      <w:proofErr w:type="spellEnd"/>
      <w:r>
        <w:rPr>
          <w:rFonts w:ascii="Times New Roman" w:hAnsi="Times New Roman" w:cs="Times New Roman"/>
        </w:rPr>
        <w:t xml:space="preserve"> was: ‘Man is accountable for his own evil doings; these acts should not be ascribed to God.’ This was known as the doctrine of </w:t>
      </w:r>
      <w:proofErr w:type="spellStart"/>
      <w:r>
        <w:rPr>
          <w:rFonts w:ascii="Times New Roman" w:hAnsi="Times New Roman" w:cs="Times New Roman"/>
          <w:i/>
        </w:rPr>
        <w:t>qadar</w:t>
      </w:r>
      <w:proofErr w:type="spellEnd"/>
      <w:r>
        <w:rPr>
          <w:rFonts w:ascii="Times New Roman" w:hAnsi="Times New Roman" w:cs="Times New Roman"/>
        </w:rPr>
        <w:t xml:space="preserve">; hence the designation </w:t>
      </w:r>
      <w:proofErr w:type="spellStart"/>
      <w:r>
        <w:rPr>
          <w:rFonts w:ascii="Times New Roman" w:hAnsi="Times New Roman" w:cs="Times New Roman"/>
        </w:rPr>
        <w:t>Qadarītes</w:t>
      </w:r>
      <w:proofErr w:type="spellEnd"/>
      <w:r>
        <w:rPr>
          <w:rFonts w:ascii="Times New Roman" w:hAnsi="Times New Roman" w:cs="Times New Roman"/>
        </w:rPr>
        <w:t xml:space="preserve"> given to the early </w:t>
      </w:r>
      <w:proofErr w:type="spellStart"/>
      <w:r>
        <w:rPr>
          <w:rFonts w:ascii="Times New Roman" w:hAnsi="Times New Roman" w:cs="Times New Roman"/>
          <w:i/>
        </w:rPr>
        <w:t>Ahl</w:t>
      </w:r>
      <w:proofErr w:type="spellEnd"/>
      <w:r>
        <w:rPr>
          <w:rFonts w:ascii="Times New Roman" w:hAnsi="Times New Roman" w:cs="Times New Roman"/>
          <w:i/>
        </w:rPr>
        <w:t xml:space="preserve"> al-‘</w:t>
      </w:r>
      <w:proofErr w:type="spellStart"/>
      <w:r>
        <w:rPr>
          <w:rFonts w:ascii="Times New Roman" w:hAnsi="Times New Roman" w:cs="Times New Roman"/>
          <w:i/>
        </w:rPr>
        <w:t>Adl</w:t>
      </w:r>
      <w:proofErr w:type="spellEnd"/>
      <w:r>
        <w:rPr>
          <w:rFonts w:ascii="Times New Roman" w:hAnsi="Times New Roman" w:cs="Times New Roman"/>
        </w:rPr>
        <w:t xml:space="preserve">, that is, the holders of the justice of God, for justice of God can be vouchsafed only by holding man responsible for his actions. </w:t>
      </w:r>
      <w:proofErr w:type="spellStart"/>
      <w:r>
        <w:rPr>
          <w:rFonts w:ascii="Times New Roman" w:hAnsi="Times New Roman" w:cs="Times New Roman"/>
        </w:rPr>
        <w:t>Ma‘bad</w:t>
      </w:r>
      <w:proofErr w:type="spellEnd"/>
      <w:r>
        <w:rPr>
          <w:rFonts w:ascii="Times New Roman" w:hAnsi="Times New Roman" w:cs="Times New Roman"/>
        </w:rPr>
        <w:t xml:space="preserve"> preached these doctrines publicly and was therefore put to death (A.H 80/699 C.E.)</w:t>
      </w:r>
      <w:r>
        <w:rPr>
          <w:rFonts w:ascii="Times New Roman" w:hAnsi="Times New Roman" w:cs="Times New Roman"/>
          <w:color w:val="FF0000"/>
        </w:rPr>
        <w:t xml:space="preserve"> </w:t>
      </w:r>
      <w:r>
        <w:rPr>
          <w:rFonts w:ascii="Times New Roman" w:hAnsi="Times New Roman" w:cs="Times New Roman"/>
        </w:rPr>
        <w:t xml:space="preserve">by </w:t>
      </w:r>
      <w:proofErr w:type="spellStart"/>
      <w:r>
        <w:rPr>
          <w:rFonts w:ascii="Times New Roman" w:hAnsi="Times New Roman" w:cs="Times New Roman"/>
        </w:rPr>
        <w:t>Hajjaj</w:t>
      </w:r>
      <w:proofErr w:type="spellEnd"/>
      <w:r>
        <w:rPr>
          <w:rFonts w:ascii="Times New Roman" w:hAnsi="Times New Roman" w:cs="Times New Roman"/>
        </w:rPr>
        <w:t xml:space="preserve"> by order of caliph ‘</w:t>
      </w:r>
      <w:proofErr w:type="spellStart"/>
      <w:r>
        <w:rPr>
          <w:rFonts w:ascii="Times New Roman" w:hAnsi="Times New Roman" w:cs="Times New Roman"/>
        </w:rPr>
        <w:t>Abdalmalik</w:t>
      </w:r>
      <w:proofErr w:type="spellEnd"/>
      <w:r>
        <w:rPr>
          <w:rFonts w:ascii="Times New Roman" w:hAnsi="Times New Roman" w:cs="Times New Roman"/>
        </w:rPr>
        <w:t>.</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After </w:t>
      </w:r>
      <w:proofErr w:type="spellStart"/>
      <w:r>
        <w:rPr>
          <w:rFonts w:ascii="Times New Roman" w:hAnsi="Times New Roman" w:cs="Times New Roman"/>
        </w:rPr>
        <w:t>Ma’bad</w:t>
      </w:r>
      <w:proofErr w:type="spellEnd"/>
      <w:r>
        <w:rPr>
          <w:rFonts w:ascii="Times New Roman" w:hAnsi="Times New Roman" w:cs="Times New Roman"/>
        </w:rPr>
        <w:t xml:space="preserve">, </w:t>
      </w:r>
      <w:proofErr w:type="spellStart"/>
      <w:r>
        <w:rPr>
          <w:rFonts w:ascii="Times New Roman" w:hAnsi="Times New Roman" w:cs="Times New Roman"/>
        </w:rPr>
        <w:t>Ghaylān</w:t>
      </w:r>
      <w:proofErr w:type="spellEnd"/>
      <w:r>
        <w:rPr>
          <w:rFonts w:ascii="Times New Roman" w:hAnsi="Times New Roman" w:cs="Times New Roman"/>
        </w:rPr>
        <w:t xml:space="preserve"> al-</w:t>
      </w:r>
      <w:proofErr w:type="spellStart"/>
      <w:r>
        <w:rPr>
          <w:rFonts w:ascii="Times New Roman" w:hAnsi="Times New Roman" w:cs="Times New Roman"/>
        </w:rPr>
        <w:t>Dimashqī</w:t>
      </w:r>
      <w:proofErr w:type="spellEnd"/>
      <w:r>
        <w:rPr>
          <w:rFonts w:ascii="Times New Roman" w:hAnsi="Times New Roman" w:cs="Times New Roman"/>
        </w:rPr>
        <w:t xml:space="preserve"> promulgated similar views. He further added that it was incumbent on every Muslim to urge people to perform right actions and to check them from doing wrong. This addition by </w:t>
      </w:r>
      <w:proofErr w:type="spellStart"/>
      <w:r>
        <w:rPr>
          <w:rFonts w:ascii="Times New Roman" w:hAnsi="Times New Roman" w:cs="Times New Roman"/>
        </w:rPr>
        <w:t>Ghaylan</w:t>
      </w:r>
      <w:proofErr w:type="spellEnd"/>
      <w:r>
        <w:rPr>
          <w:rFonts w:ascii="Times New Roman" w:hAnsi="Times New Roman" w:cs="Times New Roman"/>
        </w:rPr>
        <w:t xml:space="preserve"> overtly interfered with and threatened the maintenance of the Umayyad rule. As a consequence, he met his death at the hands of </w:t>
      </w:r>
      <w:proofErr w:type="spellStart"/>
      <w:r>
        <w:rPr>
          <w:rFonts w:ascii="Times New Roman" w:hAnsi="Times New Roman" w:cs="Times New Roman"/>
        </w:rPr>
        <w:t>Ḥishām</w:t>
      </w:r>
      <w:proofErr w:type="spellEnd"/>
      <w:r>
        <w:rPr>
          <w:rFonts w:ascii="Times New Roman" w:hAnsi="Times New Roman" w:cs="Times New Roman"/>
        </w:rPr>
        <w:t xml:space="preserve"> ibn </w:t>
      </w:r>
      <w:proofErr w:type="spellStart"/>
      <w:r>
        <w:rPr>
          <w:rFonts w:ascii="Times New Roman" w:hAnsi="Times New Roman" w:cs="Times New Roman"/>
        </w:rPr>
        <w:t>Mālik</w:t>
      </w:r>
      <w:proofErr w:type="spellEnd"/>
      <w:r>
        <w:rPr>
          <w:rFonts w:ascii="Times New Roman" w:hAnsi="Times New Roman" w:cs="Times New Roman"/>
        </w:rPr>
        <w:t xml:space="preserve"> the Caliph.</w:t>
      </w:r>
    </w:p>
    <w:p w:rsidR="001512E9" w:rsidRDefault="001512E9" w:rsidP="001512E9">
      <w:pPr>
        <w:spacing w:after="120" w:line="240" w:lineRule="auto"/>
        <w:ind w:left="567" w:right="334"/>
        <w:jc w:val="both"/>
        <w:rPr>
          <w:rFonts w:ascii="Times New Roman" w:hAnsi="Times New Roman" w:cs="Times New Roman"/>
          <w:bCs/>
        </w:rPr>
      </w:pPr>
      <w:r>
        <w:rPr>
          <w:rFonts w:ascii="Times New Roman" w:hAnsi="Times New Roman" w:cs="Times New Roman"/>
        </w:rPr>
        <w:t xml:space="preserve">In this regard, the significant figure in </w:t>
      </w:r>
      <w:proofErr w:type="spellStart"/>
      <w:r>
        <w:rPr>
          <w:rFonts w:ascii="Times New Roman" w:hAnsi="Times New Roman" w:cs="Times New Roman"/>
        </w:rPr>
        <w:t>Kalām</w:t>
      </w:r>
      <w:proofErr w:type="spellEnd"/>
      <w:r>
        <w:rPr>
          <w:rFonts w:ascii="Times New Roman" w:hAnsi="Times New Roman" w:cs="Times New Roman"/>
        </w:rPr>
        <w:t xml:space="preserve"> who spoke out the issues in an argumentative manner was </w:t>
      </w:r>
      <w:proofErr w:type="spellStart"/>
      <w:r>
        <w:rPr>
          <w:rFonts w:ascii="Times New Roman" w:hAnsi="Times New Roman" w:cs="Times New Roman"/>
        </w:rPr>
        <w:t>Ḥasan</w:t>
      </w:r>
      <w:proofErr w:type="spellEnd"/>
      <w:r>
        <w:rPr>
          <w:rFonts w:ascii="Times New Roman" w:hAnsi="Times New Roman" w:cs="Times New Roman"/>
        </w:rPr>
        <w:t xml:space="preserve"> al-</w:t>
      </w:r>
      <w:proofErr w:type="spellStart"/>
      <w:r>
        <w:rPr>
          <w:rFonts w:ascii="Times New Roman" w:hAnsi="Times New Roman" w:cs="Times New Roman"/>
        </w:rPr>
        <w:t>Basrī</w:t>
      </w:r>
      <w:proofErr w:type="spellEnd"/>
      <w:r>
        <w:rPr>
          <w:rFonts w:ascii="Times New Roman" w:hAnsi="Times New Roman" w:cs="Times New Roman"/>
        </w:rPr>
        <w:t xml:space="preserve"> and his letter to </w:t>
      </w:r>
      <w:r>
        <w:rPr>
          <w:rFonts w:ascii="Times New Roman" w:hAnsi="Times New Roman" w:cs="Times New Roman"/>
          <w:bCs/>
        </w:rPr>
        <w:t>‘</w:t>
      </w:r>
      <w:proofErr w:type="spellStart"/>
      <w:r>
        <w:rPr>
          <w:rFonts w:ascii="Times New Roman" w:hAnsi="Times New Roman" w:cs="Times New Roman"/>
          <w:bCs/>
        </w:rPr>
        <w:t>Abd</w:t>
      </w:r>
      <w:proofErr w:type="spellEnd"/>
      <w:r>
        <w:rPr>
          <w:rFonts w:ascii="Times New Roman" w:hAnsi="Times New Roman" w:cs="Times New Roman"/>
          <w:bCs/>
        </w:rPr>
        <w:t xml:space="preserve"> al-Malik needs scrutinizing. How much al-</w:t>
      </w:r>
      <w:proofErr w:type="spellStart"/>
      <w:r>
        <w:rPr>
          <w:rFonts w:ascii="Times New Roman" w:hAnsi="Times New Roman" w:cs="Times New Roman"/>
          <w:bCs/>
        </w:rPr>
        <w:t>Ḥasan</w:t>
      </w:r>
      <w:proofErr w:type="spellEnd"/>
      <w:r>
        <w:rPr>
          <w:rFonts w:ascii="Times New Roman" w:hAnsi="Times New Roman" w:cs="Times New Roman"/>
          <w:bCs/>
        </w:rPr>
        <w:t xml:space="preserve"> was appreciated by his contemporaries and how strong was the moral authority he had over them can be seen by the amount of concern the Caliph ‘</w:t>
      </w:r>
      <w:proofErr w:type="spellStart"/>
      <w:r>
        <w:rPr>
          <w:rFonts w:ascii="Times New Roman" w:hAnsi="Times New Roman" w:cs="Times New Roman"/>
          <w:bCs/>
        </w:rPr>
        <w:t>Abd</w:t>
      </w:r>
      <w:proofErr w:type="spellEnd"/>
      <w:r>
        <w:rPr>
          <w:rFonts w:ascii="Times New Roman" w:hAnsi="Times New Roman" w:cs="Times New Roman"/>
          <w:bCs/>
        </w:rPr>
        <w:t xml:space="preserve"> al-</w:t>
      </w:r>
      <w:proofErr w:type="spellStart"/>
      <w:r>
        <w:rPr>
          <w:rFonts w:ascii="Times New Roman" w:hAnsi="Times New Roman" w:cs="Times New Roman"/>
          <w:bCs/>
        </w:rPr>
        <w:t>Malīk</w:t>
      </w:r>
      <w:proofErr w:type="spellEnd"/>
      <w:r>
        <w:rPr>
          <w:rFonts w:ascii="Times New Roman" w:hAnsi="Times New Roman" w:cs="Times New Roman"/>
          <w:bCs/>
        </w:rPr>
        <w:t xml:space="preserve"> had for </w:t>
      </w:r>
      <w:proofErr w:type="spellStart"/>
      <w:r>
        <w:rPr>
          <w:rFonts w:ascii="Times New Roman" w:hAnsi="Times New Roman" w:cs="Times New Roman"/>
          <w:bCs/>
        </w:rPr>
        <w:t>Ḥasan's</w:t>
      </w:r>
      <w:proofErr w:type="spellEnd"/>
      <w:r>
        <w:rPr>
          <w:rFonts w:ascii="Times New Roman" w:hAnsi="Times New Roman" w:cs="Times New Roman"/>
          <w:bCs/>
        </w:rPr>
        <w:t xml:space="preserve"> views. When he heard that </w:t>
      </w:r>
      <w:proofErr w:type="spellStart"/>
      <w:r>
        <w:rPr>
          <w:rFonts w:ascii="Times New Roman" w:hAnsi="Times New Roman" w:cs="Times New Roman"/>
          <w:bCs/>
        </w:rPr>
        <w:t>Ḥasan</w:t>
      </w:r>
      <w:proofErr w:type="spellEnd"/>
      <w:r>
        <w:rPr>
          <w:rFonts w:ascii="Times New Roman" w:hAnsi="Times New Roman" w:cs="Times New Roman"/>
          <w:bCs/>
        </w:rPr>
        <w:t xml:space="preserve"> had "discussed predestination (</w:t>
      </w:r>
      <w:proofErr w:type="spellStart"/>
      <w:r>
        <w:rPr>
          <w:rFonts w:ascii="Times New Roman" w:hAnsi="Times New Roman" w:cs="Times New Roman"/>
          <w:bCs/>
          <w:i/>
        </w:rPr>
        <w:t>qadar</w:t>
      </w:r>
      <w:proofErr w:type="spellEnd"/>
      <w:r>
        <w:rPr>
          <w:rFonts w:ascii="Times New Roman" w:hAnsi="Times New Roman" w:cs="Times New Roman"/>
          <w:bCs/>
        </w:rPr>
        <w:t xml:space="preserve">)" in unusual manner, he thought it necessary to address a personal letter to him. The Caliph demanded that </w:t>
      </w:r>
      <w:proofErr w:type="spellStart"/>
      <w:r>
        <w:rPr>
          <w:rFonts w:ascii="Times New Roman" w:hAnsi="Times New Roman" w:cs="Times New Roman"/>
          <w:bCs/>
        </w:rPr>
        <w:t>Ḥasan</w:t>
      </w:r>
      <w:proofErr w:type="spellEnd"/>
      <w:r>
        <w:rPr>
          <w:rFonts w:ascii="Times New Roman" w:hAnsi="Times New Roman" w:cs="Times New Roman"/>
          <w:bCs/>
        </w:rPr>
        <w:t xml:space="preserve"> explain his views to him. </w:t>
      </w:r>
      <w:proofErr w:type="spellStart"/>
      <w:r>
        <w:rPr>
          <w:rFonts w:ascii="Times New Roman" w:hAnsi="Times New Roman" w:cs="Times New Roman"/>
          <w:bCs/>
        </w:rPr>
        <w:t>Ḥasan</w:t>
      </w:r>
      <w:proofErr w:type="spellEnd"/>
      <w:r>
        <w:rPr>
          <w:rFonts w:ascii="Times New Roman" w:hAnsi="Times New Roman" w:cs="Times New Roman"/>
          <w:bCs/>
        </w:rPr>
        <w:t xml:space="preserve"> answered in a long letter which deals systematically with the question of man's moral responsibility in the face of God's fore-knowledge and predestination as mentioned in the holy Qur’an. </w:t>
      </w:r>
      <w:proofErr w:type="spellStart"/>
      <w:r>
        <w:rPr>
          <w:rFonts w:ascii="Times New Roman" w:hAnsi="Times New Roman" w:cs="Times New Roman"/>
          <w:bCs/>
        </w:rPr>
        <w:t>Ḥasan</w:t>
      </w:r>
      <w:proofErr w:type="spellEnd"/>
      <w:r>
        <w:rPr>
          <w:rFonts w:ascii="Times New Roman" w:hAnsi="Times New Roman" w:cs="Times New Roman"/>
          <w:bCs/>
        </w:rPr>
        <w:t xml:space="preserve"> justifies as follows:</w:t>
      </w:r>
    </w:p>
    <w:p w:rsidR="001512E9" w:rsidRDefault="001512E9" w:rsidP="001512E9">
      <w:pPr>
        <w:autoSpaceDE w:val="0"/>
        <w:autoSpaceDN w:val="0"/>
        <w:adjustRightInd w:val="0"/>
        <w:spacing w:after="120" w:line="240" w:lineRule="auto"/>
        <w:ind w:left="1440" w:right="334"/>
        <w:jc w:val="both"/>
        <w:rPr>
          <w:rFonts w:ascii="Times New Roman" w:hAnsi="Times New Roman" w:cs="Times New Roman"/>
          <w:bCs/>
          <w:i/>
        </w:rPr>
      </w:pPr>
      <w:r>
        <w:rPr>
          <w:rFonts w:ascii="Times New Roman" w:hAnsi="Times New Roman" w:cs="Times New Roman"/>
          <w:bCs/>
          <w:i/>
        </w:rPr>
        <w:t>God has said, "I have created jinn and men only in order that they worship Me. I do not require any sustenance from them; neither will I that they feed Me" (</w:t>
      </w:r>
      <w:proofErr w:type="spellStart"/>
      <w:r>
        <w:rPr>
          <w:rFonts w:ascii="Times New Roman" w:hAnsi="Times New Roman" w:cs="Times New Roman"/>
          <w:bCs/>
          <w:i/>
        </w:rPr>
        <w:t>Zāriyāt</w:t>
      </w:r>
      <w:proofErr w:type="spellEnd"/>
      <w:r>
        <w:rPr>
          <w:rFonts w:ascii="Times New Roman" w:hAnsi="Times New Roman" w:cs="Times New Roman"/>
          <w:bCs/>
          <w:i/>
        </w:rPr>
        <w:t xml:space="preserve"> 51.56-57). Thus He commanded them to worship Him, for which purpose He had created them, and God is not one to create them for a purpose and then intervene between them and it (to prevent them from fulfilling it), because He does not wrong (His) servants (</w:t>
      </w:r>
      <w:proofErr w:type="spellStart"/>
      <w:r>
        <w:rPr>
          <w:rFonts w:ascii="Times New Roman" w:hAnsi="Times New Roman" w:cs="Times New Roman"/>
          <w:bCs/>
          <w:i/>
        </w:rPr>
        <w:t>laysa</w:t>
      </w:r>
      <w:proofErr w:type="spellEnd"/>
      <w:r>
        <w:rPr>
          <w:rFonts w:ascii="Times New Roman" w:hAnsi="Times New Roman" w:cs="Times New Roman"/>
          <w:bCs/>
          <w:i/>
        </w:rPr>
        <w:t xml:space="preserve"> bi-</w:t>
      </w:r>
      <w:proofErr w:type="spellStart"/>
      <w:r>
        <w:rPr>
          <w:rFonts w:ascii="Times New Roman" w:hAnsi="Times New Roman" w:cs="Times New Roman"/>
          <w:bCs/>
          <w:i/>
        </w:rPr>
        <w:t>ẓallām</w:t>
      </w:r>
      <w:proofErr w:type="spellEnd"/>
      <w:r>
        <w:rPr>
          <w:rFonts w:ascii="Times New Roman" w:hAnsi="Times New Roman" w:cs="Times New Roman"/>
          <w:bCs/>
          <w:i/>
        </w:rPr>
        <w:t xml:space="preserve"> li'l-‘</w:t>
      </w:r>
      <w:proofErr w:type="spellStart"/>
      <w:r>
        <w:rPr>
          <w:rFonts w:ascii="Times New Roman" w:hAnsi="Times New Roman" w:cs="Times New Roman"/>
          <w:bCs/>
          <w:i/>
        </w:rPr>
        <w:t>abīd</w:t>
      </w:r>
      <w:proofErr w:type="spellEnd"/>
      <w:r>
        <w:rPr>
          <w:rFonts w:ascii="Times New Roman" w:hAnsi="Times New Roman" w:cs="Times New Roman"/>
          <w:bCs/>
          <w:i/>
        </w:rPr>
        <w:t>) (</w:t>
      </w:r>
      <w:proofErr w:type="spellStart"/>
      <w:r>
        <w:rPr>
          <w:rFonts w:ascii="Times New Roman" w:hAnsi="Times New Roman" w:cs="Times New Roman"/>
          <w:bCs/>
          <w:i/>
        </w:rPr>
        <w:t>Āl-i</w:t>
      </w:r>
      <w:proofErr w:type="spellEnd"/>
      <w:r>
        <w:rPr>
          <w:rFonts w:ascii="Times New Roman" w:hAnsi="Times New Roman" w:cs="Times New Roman"/>
          <w:bCs/>
          <w:i/>
        </w:rPr>
        <w:t xml:space="preserve"> ‘</w:t>
      </w:r>
      <w:proofErr w:type="spellStart"/>
      <w:r>
        <w:rPr>
          <w:rFonts w:ascii="Times New Roman" w:hAnsi="Times New Roman" w:cs="Times New Roman"/>
          <w:bCs/>
          <w:i/>
        </w:rPr>
        <w:t>Imrān</w:t>
      </w:r>
      <w:proofErr w:type="spellEnd"/>
      <w:r>
        <w:rPr>
          <w:rFonts w:ascii="Times New Roman" w:hAnsi="Times New Roman" w:cs="Times New Roman"/>
          <w:bCs/>
          <w:i/>
        </w:rPr>
        <w:t xml:space="preserve"> 3.182) (p. 68, 1. 6-9).</w:t>
      </w:r>
      <w:r>
        <w:rPr>
          <w:rStyle w:val="DipnotBavurusu"/>
          <w:rFonts w:ascii="Times New Roman" w:hAnsi="Times New Roman" w:cs="Times New Roman"/>
          <w:bCs/>
          <w:i/>
        </w:rPr>
        <w:footnoteReference w:id="2"/>
      </w:r>
    </w:p>
    <w:p w:rsidR="001512E9" w:rsidRDefault="001512E9" w:rsidP="001512E9">
      <w:pPr>
        <w:autoSpaceDE w:val="0"/>
        <w:autoSpaceDN w:val="0"/>
        <w:adjustRightInd w:val="0"/>
        <w:spacing w:after="120" w:line="240" w:lineRule="auto"/>
        <w:ind w:left="567" w:right="334"/>
        <w:jc w:val="both"/>
        <w:rPr>
          <w:rFonts w:ascii="Times New Roman" w:hAnsi="Times New Roman" w:cs="Times New Roman"/>
          <w:bCs/>
        </w:rPr>
      </w:pPr>
      <w:r>
        <w:rPr>
          <w:rFonts w:ascii="Times New Roman" w:hAnsi="Times New Roman" w:cs="Times New Roman"/>
          <w:bCs/>
        </w:rPr>
        <w:t>The argument that according to the Qur’an (</w:t>
      </w:r>
      <w:proofErr w:type="spellStart"/>
      <w:r>
        <w:rPr>
          <w:rFonts w:ascii="Times New Roman" w:hAnsi="Times New Roman" w:cs="Times New Roman"/>
          <w:bCs/>
        </w:rPr>
        <w:t>Zāriyāt</w:t>
      </w:r>
      <w:proofErr w:type="spellEnd"/>
      <w:r>
        <w:rPr>
          <w:rFonts w:ascii="Times New Roman" w:hAnsi="Times New Roman" w:cs="Times New Roman"/>
          <w:bCs/>
        </w:rPr>
        <w:t xml:space="preserve"> 51.56), God's purpose in creating man was to make him serve Him and that therefore He will not prevent him from this service (by pre-ordaining his disobedience), was used afterward as one of the arguments against predestination.  </w:t>
      </w:r>
    </w:p>
    <w:p w:rsidR="001512E9" w:rsidRDefault="001512E9" w:rsidP="001512E9">
      <w:pPr>
        <w:autoSpaceDE w:val="0"/>
        <w:autoSpaceDN w:val="0"/>
        <w:adjustRightInd w:val="0"/>
        <w:spacing w:after="120" w:line="240" w:lineRule="auto"/>
        <w:ind w:left="567" w:right="334"/>
        <w:jc w:val="both"/>
        <w:rPr>
          <w:rFonts w:ascii="Times New Roman" w:hAnsi="Times New Roman" w:cs="Times New Roman"/>
          <w:bCs/>
        </w:rPr>
      </w:pPr>
      <w:r>
        <w:rPr>
          <w:rFonts w:ascii="Times New Roman" w:hAnsi="Times New Roman" w:cs="Times New Roman"/>
          <w:bCs/>
        </w:rPr>
        <w:lastRenderedPageBreak/>
        <w:t xml:space="preserve">We have seen that </w:t>
      </w:r>
      <w:proofErr w:type="spellStart"/>
      <w:r>
        <w:rPr>
          <w:rFonts w:ascii="Times New Roman" w:hAnsi="Times New Roman" w:cs="Times New Roman"/>
          <w:bCs/>
        </w:rPr>
        <w:t>Ḥasan</w:t>
      </w:r>
      <w:proofErr w:type="spellEnd"/>
      <w:r>
        <w:rPr>
          <w:rFonts w:ascii="Times New Roman" w:hAnsi="Times New Roman" w:cs="Times New Roman"/>
          <w:bCs/>
        </w:rPr>
        <w:t xml:space="preserve"> is confident that God will not prevent man from serving Him "because He does not wrong man". Thus we arrive at the central questions of theodicy: Are man's evil acts pre-ordained by God? If so, God could be said to wrong man (in denying him his chance to do good and deserve his reward. This is the meaning implied by al-</w:t>
      </w:r>
      <w:proofErr w:type="spellStart"/>
      <w:r>
        <w:rPr>
          <w:rFonts w:ascii="Times New Roman" w:hAnsi="Times New Roman" w:cs="Times New Roman"/>
          <w:bCs/>
        </w:rPr>
        <w:t>Ḥasan</w:t>
      </w:r>
      <w:proofErr w:type="spellEnd"/>
      <w:r>
        <w:rPr>
          <w:rFonts w:ascii="Times New Roman" w:hAnsi="Times New Roman" w:cs="Times New Roman"/>
          <w:bCs/>
        </w:rPr>
        <w:t xml:space="preserve"> and stated explicitly by later authors). Is it at all possible that evil proceed from God? </w:t>
      </w:r>
      <w:proofErr w:type="spellStart"/>
      <w:r>
        <w:rPr>
          <w:rFonts w:ascii="Times New Roman" w:hAnsi="Times New Roman" w:cs="Times New Roman"/>
          <w:bCs/>
        </w:rPr>
        <w:t>Ḥasan's</w:t>
      </w:r>
      <w:proofErr w:type="spellEnd"/>
      <w:r>
        <w:rPr>
          <w:rFonts w:ascii="Times New Roman" w:hAnsi="Times New Roman" w:cs="Times New Roman"/>
          <w:bCs/>
        </w:rPr>
        <w:t xml:space="preserve"> answer is clear:</w:t>
      </w:r>
    </w:p>
    <w:p w:rsidR="001512E9" w:rsidRDefault="001512E9" w:rsidP="001512E9">
      <w:pPr>
        <w:autoSpaceDE w:val="0"/>
        <w:autoSpaceDN w:val="0"/>
        <w:adjustRightInd w:val="0"/>
        <w:spacing w:after="120" w:line="240" w:lineRule="auto"/>
        <w:ind w:left="1440" w:right="334"/>
        <w:jc w:val="both"/>
        <w:rPr>
          <w:rFonts w:ascii="Times New Roman" w:hAnsi="Times New Roman" w:cs="Times New Roman"/>
          <w:bCs/>
          <w:i/>
        </w:rPr>
      </w:pPr>
      <w:r>
        <w:rPr>
          <w:rFonts w:ascii="Times New Roman" w:hAnsi="Times New Roman" w:cs="Times New Roman"/>
          <w:bCs/>
          <w:i/>
        </w:rPr>
        <w:t>Therefore, o Commander of the Faithful, understand what the Book (teaches) you and give up the erroneous opinions (al-</w:t>
      </w:r>
      <w:proofErr w:type="spellStart"/>
      <w:r>
        <w:rPr>
          <w:rFonts w:ascii="Times New Roman" w:hAnsi="Times New Roman" w:cs="Times New Roman"/>
          <w:bCs/>
          <w:i/>
        </w:rPr>
        <w:t>ahwā</w:t>
      </w:r>
      <w:proofErr w:type="spellEnd"/>
      <w:r>
        <w:rPr>
          <w:rFonts w:ascii="Times New Roman" w:hAnsi="Times New Roman" w:cs="Times New Roman"/>
          <w:bCs/>
          <w:i/>
        </w:rPr>
        <w:t>') of those who do not know about God's decree (</w:t>
      </w:r>
      <w:proofErr w:type="spellStart"/>
      <w:r>
        <w:rPr>
          <w:rFonts w:ascii="Times New Roman" w:hAnsi="Times New Roman" w:cs="Times New Roman"/>
          <w:bCs/>
          <w:i/>
        </w:rPr>
        <w:t>qadā</w:t>
      </w:r>
      <w:proofErr w:type="spellEnd"/>
      <w:r>
        <w:rPr>
          <w:rFonts w:ascii="Times New Roman" w:hAnsi="Times New Roman" w:cs="Times New Roman"/>
          <w:bCs/>
          <w:i/>
        </w:rPr>
        <w:t>') and His judgement (</w:t>
      </w:r>
      <w:proofErr w:type="spellStart"/>
      <w:r>
        <w:rPr>
          <w:rFonts w:ascii="Times New Roman" w:hAnsi="Times New Roman" w:cs="Times New Roman"/>
          <w:bCs/>
          <w:i/>
        </w:rPr>
        <w:t>ḥukm</w:t>
      </w:r>
      <w:proofErr w:type="spellEnd"/>
      <w:r>
        <w:rPr>
          <w:rFonts w:ascii="Times New Roman" w:hAnsi="Times New Roman" w:cs="Times New Roman"/>
          <w:bCs/>
          <w:i/>
        </w:rPr>
        <w:t xml:space="preserve">). Because God says this (i.e. </w:t>
      </w:r>
      <w:proofErr w:type="spellStart"/>
      <w:r>
        <w:rPr>
          <w:rFonts w:ascii="Times New Roman" w:hAnsi="Times New Roman" w:cs="Times New Roman"/>
          <w:bCs/>
          <w:i/>
        </w:rPr>
        <w:t>Āl-i</w:t>
      </w:r>
      <w:proofErr w:type="spellEnd"/>
      <w:r>
        <w:rPr>
          <w:rFonts w:ascii="Times New Roman" w:hAnsi="Times New Roman" w:cs="Times New Roman"/>
          <w:bCs/>
          <w:i/>
        </w:rPr>
        <w:t xml:space="preserve"> ‘</w:t>
      </w:r>
      <w:proofErr w:type="spellStart"/>
      <w:r>
        <w:rPr>
          <w:rFonts w:ascii="Times New Roman" w:hAnsi="Times New Roman" w:cs="Times New Roman"/>
          <w:bCs/>
          <w:i/>
        </w:rPr>
        <w:t>Imrān</w:t>
      </w:r>
      <w:proofErr w:type="spellEnd"/>
      <w:r>
        <w:rPr>
          <w:rFonts w:ascii="Times New Roman" w:hAnsi="Times New Roman" w:cs="Times New Roman"/>
          <w:bCs/>
          <w:i/>
        </w:rPr>
        <w:t xml:space="preserve"> 3.182) meaning that God did not change (i.e. withdraw and replace by its opposite) a </w:t>
      </w:r>
      <w:proofErr w:type="spellStart"/>
      <w:r>
        <w:rPr>
          <w:rFonts w:ascii="Times New Roman" w:hAnsi="Times New Roman" w:cs="Times New Roman"/>
          <w:bCs/>
          <w:i/>
        </w:rPr>
        <w:t>favour</w:t>
      </w:r>
      <w:proofErr w:type="spellEnd"/>
      <w:r>
        <w:rPr>
          <w:rFonts w:ascii="Times New Roman" w:hAnsi="Times New Roman" w:cs="Times New Roman"/>
          <w:bCs/>
          <w:i/>
        </w:rPr>
        <w:t xml:space="preserve"> He had bestowed on people (lam </w:t>
      </w:r>
      <w:proofErr w:type="spellStart"/>
      <w:r>
        <w:rPr>
          <w:rFonts w:ascii="Times New Roman" w:hAnsi="Times New Roman" w:cs="Times New Roman"/>
          <w:bCs/>
          <w:i/>
        </w:rPr>
        <w:t>yakun</w:t>
      </w:r>
      <w:proofErr w:type="spellEnd"/>
      <w:r>
        <w:rPr>
          <w:rFonts w:ascii="Times New Roman" w:hAnsi="Times New Roman" w:cs="Times New Roman"/>
          <w:bCs/>
          <w:i/>
        </w:rPr>
        <w:t xml:space="preserve"> </w:t>
      </w:r>
      <w:proofErr w:type="spellStart"/>
      <w:r>
        <w:rPr>
          <w:rFonts w:ascii="Times New Roman" w:hAnsi="Times New Roman" w:cs="Times New Roman"/>
          <w:bCs/>
          <w:i/>
        </w:rPr>
        <w:t>mughayyiran</w:t>
      </w:r>
      <w:proofErr w:type="spellEnd"/>
      <w:r>
        <w:rPr>
          <w:rFonts w:ascii="Times New Roman" w:hAnsi="Times New Roman" w:cs="Times New Roman"/>
          <w:bCs/>
          <w:i/>
        </w:rPr>
        <w:t xml:space="preserve"> </w:t>
      </w:r>
      <w:proofErr w:type="spellStart"/>
      <w:r>
        <w:rPr>
          <w:rFonts w:ascii="Times New Roman" w:hAnsi="Times New Roman" w:cs="Times New Roman"/>
          <w:bCs/>
          <w:i/>
        </w:rPr>
        <w:t>ni‘matan</w:t>
      </w:r>
      <w:proofErr w:type="spellEnd"/>
      <w:r>
        <w:rPr>
          <w:rFonts w:ascii="Times New Roman" w:hAnsi="Times New Roman" w:cs="Times New Roman"/>
          <w:bCs/>
          <w:i/>
        </w:rPr>
        <w:t xml:space="preserve"> </w:t>
      </w:r>
      <w:proofErr w:type="spellStart"/>
      <w:r>
        <w:rPr>
          <w:rFonts w:ascii="Times New Roman" w:hAnsi="Times New Roman" w:cs="Times New Roman"/>
          <w:bCs/>
          <w:i/>
        </w:rPr>
        <w:t>an‘amahā</w:t>
      </w:r>
      <w:proofErr w:type="spellEnd"/>
      <w:r>
        <w:rPr>
          <w:rFonts w:ascii="Times New Roman" w:hAnsi="Times New Roman" w:cs="Times New Roman"/>
          <w:bCs/>
          <w:i/>
        </w:rPr>
        <w:t xml:space="preserve"> ‘</w:t>
      </w:r>
      <w:proofErr w:type="spellStart"/>
      <w:r>
        <w:rPr>
          <w:rFonts w:ascii="Times New Roman" w:hAnsi="Times New Roman" w:cs="Times New Roman"/>
          <w:bCs/>
          <w:i/>
        </w:rPr>
        <w:t>alā</w:t>
      </w:r>
      <w:proofErr w:type="spellEnd"/>
      <w:r>
        <w:rPr>
          <w:rFonts w:ascii="Times New Roman" w:hAnsi="Times New Roman" w:cs="Times New Roman"/>
          <w:bCs/>
          <w:i/>
        </w:rPr>
        <w:t xml:space="preserve"> </w:t>
      </w:r>
      <w:proofErr w:type="spellStart"/>
      <w:r>
        <w:rPr>
          <w:rFonts w:ascii="Times New Roman" w:hAnsi="Times New Roman" w:cs="Times New Roman"/>
          <w:bCs/>
          <w:i/>
        </w:rPr>
        <w:t>qavmin</w:t>
      </w:r>
      <w:proofErr w:type="spellEnd"/>
      <w:r>
        <w:rPr>
          <w:rFonts w:ascii="Times New Roman" w:hAnsi="Times New Roman" w:cs="Times New Roman"/>
          <w:bCs/>
          <w:i/>
        </w:rPr>
        <w:t xml:space="preserve">), until they changed what is in their souls. Thus at first </w:t>
      </w:r>
      <w:proofErr w:type="spellStart"/>
      <w:r>
        <w:rPr>
          <w:rFonts w:ascii="Times New Roman" w:hAnsi="Times New Roman" w:cs="Times New Roman"/>
          <w:bCs/>
          <w:i/>
        </w:rPr>
        <w:t>favour</w:t>
      </w:r>
      <w:proofErr w:type="spellEnd"/>
      <w:r>
        <w:rPr>
          <w:rFonts w:ascii="Times New Roman" w:hAnsi="Times New Roman" w:cs="Times New Roman"/>
          <w:bCs/>
          <w:i/>
        </w:rPr>
        <w:t xml:space="preserve"> came from God but the change (</w:t>
      </w:r>
      <w:proofErr w:type="spellStart"/>
      <w:r>
        <w:rPr>
          <w:rFonts w:ascii="Times New Roman" w:hAnsi="Times New Roman" w:cs="Times New Roman"/>
          <w:bCs/>
          <w:i/>
        </w:rPr>
        <w:t>taghyīr</w:t>
      </w:r>
      <w:proofErr w:type="spellEnd"/>
      <w:r>
        <w:rPr>
          <w:rFonts w:ascii="Times New Roman" w:hAnsi="Times New Roman" w:cs="Times New Roman"/>
          <w:bCs/>
          <w:i/>
        </w:rPr>
        <w:t>) came from men (al-‘</w:t>
      </w:r>
      <w:proofErr w:type="spellStart"/>
      <w:r>
        <w:rPr>
          <w:rFonts w:ascii="Times New Roman" w:hAnsi="Times New Roman" w:cs="Times New Roman"/>
          <w:bCs/>
          <w:i/>
        </w:rPr>
        <w:t>ibād</w:t>
      </w:r>
      <w:proofErr w:type="spellEnd"/>
      <w:r>
        <w:rPr>
          <w:rFonts w:ascii="Times New Roman" w:hAnsi="Times New Roman" w:cs="Times New Roman"/>
          <w:bCs/>
          <w:i/>
        </w:rPr>
        <w:t>), because they disobeyed His commandment as He said (</w:t>
      </w:r>
      <w:proofErr w:type="spellStart"/>
      <w:r>
        <w:rPr>
          <w:rFonts w:ascii="Times New Roman" w:hAnsi="Times New Roman" w:cs="Times New Roman"/>
          <w:bCs/>
          <w:i/>
        </w:rPr>
        <w:t>Ibrāhīm</w:t>
      </w:r>
      <w:proofErr w:type="spellEnd"/>
      <w:r>
        <w:rPr>
          <w:rFonts w:ascii="Times New Roman" w:hAnsi="Times New Roman" w:cs="Times New Roman"/>
          <w:bCs/>
          <w:i/>
        </w:rPr>
        <w:t xml:space="preserve"> 14.28-29): "Have you not considered those who have bartered (</w:t>
      </w:r>
      <w:proofErr w:type="spellStart"/>
      <w:r>
        <w:rPr>
          <w:rFonts w:ascii="Times New Roman" w:hAnsi="Times New Roman" w:cs="Times New Roman"/>
          <w:bCs/>
          <w:i/>
        </w:rPr>
        <w:t>baddalū</w:t>
      </w:r>
      <w:proofErr w:type="spellEnd"/>
      <w:r>
        <w:rPr>
          <w:rFonts w:ascii="Times New Roman" w:hAnsi="Times New Roman" w:cs="Times New Roman"/>
          <w:bCs/>
          <w:i/>
        </w:rPr>
        <w:t xml:space="preserve">) God's </w:t>
      </w:r>
      <w:proofErr w:type="spellStart"/>
      <w:r>
        <w:rPr>
          <w:rFonts w:ascii="Times New Roman" w:hAnsi="Times New Roman" w:cs="Times New Roman"/>
          <w:bCs/>
          <w:i/>
        </w:rPr>
        <w:t>favour</w:t>
      </w:r>
      <w:proofErr w:type="spellEnd"/>
      <w:r>
        <w:rPr>
          <w:rFonts w:ascii="Times New Roman" w:hAnsi="Times New Roman" w:cs="Times New Roman"/>
          <w:bCs/>
          <w:i/>
        </w:rPr>
        <w:t xml:space="preserve"> for infidelity and caused their people to descend into the house of perdition, into Hell". Thus </w:t>
      </w:r>
      <w:proofErr w:type="spellStart"/>
      <w:r>
        <w:rPr>
          <w:rFonts w:ascii="Times New Roman" w:hAnsi="Times New Roman" w:cs="Times New Roman"/>
          <w:bCs/>
          <w:i/>
        </w:rPr>
        <w:t>favour</w:t>
      </w:r>
      <w:proofErr w:type="spellEnd"/>
      <w:r>
        <w:rPr>
          <w:rFonts w:ascii="Times New Roman" w:hAnsi="Times New Roman" w:cs="Times New Roman"/>
          <w:bCs/>
          <w:i/>
        </w:rPr>
        <w:t xml:space="preserve"> was from God, and the barter (</w:t>
      </w:r>
      <w:proofErr w:type="spellStart"/>
      <w:r>
        <w:rPr>
          <w:rFonts w:ascii="Times New Roman" w:hAnsi="Times New Roman" w:cs="Times New Roman"/>
          <w:bCs/>
          <w:i/>
        </w:rPr>
        <w:t>tabdīl</w:t>
      </w:r>
      <w:proofErr w:type="spellEnd"/>
      <w:r>
        <w:rPr>
          <w:rFonts w:ascii="Times New Roman" w:hAnsi="Times New Roman" w:cs="Times New Roman"/>
          <w:bCs/>
          <w:i/>
        </w:rPr>
        <w:t>) from men, because they failed to do (</w:t>
      </w:r>
      <w:proofErr w:type="spellStart"/>
      <w:r>
        <w:rPr>
          <w:rFonts w:ascii="Times New Roman" w:hAnsi="Times New Roman" w:cs="Times New Roman"/>
          <w:bCs/>
          <w:i/>
        </w:rPr>
        <w:t>tarakū</w:t>
      </w:r>
      <w:proofErr w:type="spellEnd"/>
      <w:r>
        <w:rPr>
          <w:rFonts w:ascii="Times New Roman" w:hAnsi="Times New Roman" w:cs="Times New Roman"/>
          <w:bCs/>
          <w:i/>
        </w:rPr>
        <w:t>) what He had commanded and they did (‘</w:t>
      </w:r>
      <w:proofErr w:type="spellStart"/>
      <w:r>
        <w:rPr>
          <w:rFonts w:ascii="Times New Roman" w:hAnsi="Times New Roman" w:cs="Times New Roman"/>
          <w:bCs/>
          <w:i/>
        </w:rPr>
        <w:t>amilū</w:t>
      </w:r>
      <w:proofErr w:type="spellEnd"/>
      <w:r>
        <w:rPr>
          <w:rFonts w:ascii="Times New Roman" w:hAnsi="Times New Roman" w:cs="Times New Roman"/>
          <w:bCs/>
          <w:i/>
        </w:rPr>
        <w:t>) that which He had forbidden them (</w:t>
      </w:r>
      <w:proofErr w:type="spellStart"/>
      <w:r>
        <w:rPr>
          <w:rFonts w:ascii="Times New Roman" w:hAnsi="Times New Roman" w:cs="Times New Roman"/>
          <w:bCs/>
          <w:i/>
        </w:rPr>
        <w:t>En‘ām</w:t>
      </w:r>
      <w:proofErr w:type="spellEnd"/>
      <w:r>
        <w:rPr>
          <w:rFonts w:ascii="Times New Roman" w:hAnsi="Times New Roman" w:cs="Times New Roman"/>
          <w:bCs/>
          <w:i/>
        </w:rPr>
        <w:t xml:space="preserve"> 6.151).</w:t>
      </w:r>
      <w:r>
        <w:rPr>
          <w:rStyle w:val="DipnotBavurusu"/>
          <w:rFonts w:ascii="Times New Roman" w:hAnsi="Times New Roman" w:cs="Times New Roman"/>
          <w:bCs/>
          <w:i/>
        </w:rPr>
        <w:footnoteReference w:id="3"/>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After these forerunners, in the early second century of Hegira </w:t>
      </w:r>
      <w:proofErr w:type="spellStart"/>
      <w:r>
        <w:rPr>
          <w:rFonts w:ascii="Times New Roman" w:hAnsi="Times New Roman" w:cs="Times New Roman"/>
        </w:rPr>
        <w:t>Mu‘tazila</w:t>
      </w:r>
      <w:proofErr w:type="spellEnd"/>
      <w:r>
        <w:rPr>
          <w:rFonts w:ascii="Times New Roman" w:hAnsi="Times New Roman" w:cs="Times New Roman"/>
        </w:rPr>
        <w:t xml:space="preserve"> came forth as a doctrinal school to discuss many other problems in a systematic way. </w:t>
      </w:r>
      <w:proofErr w:type="spellStart"/>
      <w:r>
        <w:rPr>
          <w:rFonts w:ascii="Times New Roman" w:hAnsi="Times New Roman" w:cs="Times New Roman"/>
        </w:rPr>
        <w:t>Wāsıl</w:t>
      </w:r>
      <w:proofErr w:type="spellEnd"/>
      <w:r>
        <w:rPr>
          <w:rFonts w:ascii="Times New Roman" w:hAnsi="Times New Roman" w:cs="Times New Roman"/>
        </w:rPr>
        <w:t xml:space="preserve"> b. </w:t>
      </w:r>
      <w:proofErr w:type="spellStart"/>
      <w:r>
        <w:rPr>
          <w:rFonts w:ascii="Times New Roman" w:hAnsi="Times New Roman" w:cs="Times New Roman"/>
        </w:rPr>
        <w:t>Atā</w:t>
      </w:r>
      <w:proofErr w:type="spellEnd"/>
      <w:r>
        <w:rPr>
          <w:rFonts w:ascii="Times New Roman" w:hAnsi="Times New Roman" w:cs="Times New Roman"/>
        </w:rPr>
        <w:t xml:space="preserve"> (131/748) and Amr b. ‘</w:t>
      </w:r>
      <w:proofErr w:type="spellStart"/>
      <w:r>
        <w:rPr>
          <w:rFonts w:ascii="Times New Roman" w:hAnsi="Times New Roman" w:cs="Times New Roman"/>
        </w:rPr>
        <w:t>Ubayd</w:t>
      </w:r>
      <w:proofErr w:type="spellEnd"/>
      <w:r>
        <w:rPr>
          <w:rFonts w:ascii="Times New Roman" w:hAnsi="Times New Roman" w:cs="Times New Roman"/>
        </w:rPr>
        <w:t xml:space="preserve"> (144/761) are two important figures to set the backbone of </w:t>
      </w:r>
      <w:proofErr w:type="spellStart"/>
      <w:r>
        <w:rPr>
          <w:rFonts w:ascii="Times New Roman" w:hAnsi="Times New Roman" w:cs="Times New Roman"/>
        </w:rPr>
        <w:t>Mu’tazilite</w:t>
      </w:r>
      <w:proofErr w:type="spellEnd"/>
      <w:r>
        <w:rPr>
          <w:rFonts w:ascii="Times New Roman" w:hAnsi="Times New Roman" w:cs="Times New Roman"/>
        </w:rPr>
        <w:t xml:space="preserve"> doctrine. These two were </w:t>
      </w:r>
      <w:proofErr w:type="spellStart"/>
      <w:r>
        <w:rPr>
          <w:rFonts w:ascii="Times New Roman" w:hAnsi="Times New Roman" w:cs="Times New Roman"/>
        </w:rPr>
        <w:t>Ma’mun’s</w:t>
      </w:r>
      <w:proofErr w:type="spellEnd"/>
      <w:r>
        <w:rPr>
          <w:rFonts w:ascii="Times New Roman" w:hAnsi="Times New Roman" w:cs="Times New Roman"/>
        </w:rPr>
        <w:t xml:space="preserve"> own teachers and he held them in high esteem. </w:t>
      </w:r>
      <w:proofErr w:type="spellStart"/>
      <w:r>
        <w:rPr>
          <w:rFonts w:ascii="Times New Roman" w:hAnsi="Times New Roman" w:cs="Times New Roman"/>
        </w:rPr>
        <w:t>Dirār</w:t>
      </w:r>
      <w:proofErr w:type="spellEnd"/>
      <w:r>
        <w:rPr>
          <w:rFonts w:ascii="Times New Roman" w:hAnsi="Times New Roman" w:cs="Times New Roman"/>
        </w:rPr>
        <w:t xml:space="preserve"> bin ‘Amr (200/815) </w:t>
      </w:r>
      <w:proofErr w:type="spellStart"/>
      <w:r>
        <w:rPr>
          <w:rFonts w:ascii="Times New Roman" w:hAnsi="Times New Roman" w:cs="Times New Roman"/>
        </w:rPr>
        <w:t>Abu’l-Huzayl</w:t>
      </w:r>
      <w:proofErr w:type="spellEnd"/>
      <w:r>
        <w:rPr>
          <w:rFonts w:ascii="Times New Roman" w:hAnsi="Times New Roman" w:cs="Times New Roman"/>
        </w:rPr>
        <w:t xml:space="preserve"> al-‘</w:t>
      </w:r>
      <w:proofErr w:type="spellStart"/>
      <w:r>
        <w:rPr>
          <w:rFonts w:ascii="Times New Roman" w:hAnsi="Times New Roman" w:cs="Times New Roman"/>
        </w:rPr>
        <w:t>Allāf</w:t>
      </w:r>
      <w:proofErr w:type="spellEnd"/>
      <w:r>
        <w:rPr>
          <w:rFonts w:ascii="Times New Roman" w:hAnsi="Times New Roman" w:cs="Times New Roman"/>
        </w:rPr>
        <w:t xml:space="preserve">  (227/841) and </w:t>
      </w:r>
      <w:proofErr w:type="spellStart"/>
      <w:r>
        <w:rPr>
          <w:rFonts w:ascii="Times New Roman" w:hAnsi="Times New Roman" w:cs="Times New Roman"/>
        </w:rPr>
        <w:t>Ibrāhim</w:t>
      </w:r>
      <w:proofErr w:type="spellEnd"/>
      <w:r>
        <w:rPr>
          <w:rFonts w:ascii="Times New Roman" w:hAnsi="Times New Roman" w:cs="Times New Roman"/>
        </w:rPr>
        <w:t xml:space="preserve"> an-</w:t>
      </w:r>
      <w:proofErr w:type="spellStart"/>
      <w:r>
        <w:rPr>
          <w:rFonts w:ascii="Times New Roman" w:hAnsi="Times New Roman" w:cs="Times New Roman"/>
        </w:rPr>
        <w:t>Nazzām</w:t>
      </w:r>
      <w:proofErr w:type="spellEnd"/>
      <w:r>
        <w:rPr>
          <w:rFonts w:ascii="Times New Roman" w:hAnsi="Times New Roman" w:cs="Times New Roman"/>
        </w:rPr>
        <w:t xml:space="preserve"> (221/815), </w:t>
      </w:r>
      <w:proofErr w:type="spellStart"/>
      <w:r>
        <w:rPr>
          <w:rFonts w:ascii="Times New Roman" w:hAnsi="Times New Roman" w:cs="Times New Roman"/>
        </w:rPr>
        <w:t>Bisr</w:t>
      </w:r>
      <w:proofErr w:type="spellEnd"/>
      <w:r>
        <w:rPr>
          <w:rFonts w:ascii="Times New Roman" w:hAnsi="Times New Roman" w:cs="Times New Roman"/>
        </w:rPr>
        <w:t xml:space="preserve"> bin </w:t>
      </w:r>
      <w:proofErr w:type="spellStart"/>
      <w:r>
        <w:rPr>
          <w:rFonts w:ascii="Times New Roman" w:hAnsi="Times New Roman" w:cs="Times New Roman"/>
        </w:rPr>
        <w:t>Mu’tamir</w:t>
      </w:r>
      <w:proofErr w:type="spellEnd"/>
      <w:r>
        <w:rPr>
          <w:rFonts w:ascii="Times New Roman" w:hAnsi="Times New Roman" w:cs="Times New Roman"/>
        </w:rPr>
        <w:t xml:space="preserve"> (210/825) </w:t>
      </w:r>
      <w:proofErr w:type="spellStart"/>
      <w:r>
        <w:rPr>
          <w:rFonts w:ascii="Times New Roman" w:hAnsi="Times New Roman" w:cs="Times New Roman"/>
        </w:rPr>
        <w:t>Sumāma</w:t>
      </w:r>
      <w:proofErr w:type="spellEnd"/>
      <w:r>
        <w:rPr>
          <w:rFonts w:ascii="Times New Roman" w:hAnsi="Times New Roman" w:cs="Times New Roman"/>
        </w:rPr>
        <w:t xml:space="preserve"> bin </w:t>
      </w:r>
      <w:proofErr w:type="spellStart"/>
      <w:r>
        <w:rPr>
          <w:rFonts w:ascii="Times New Roman" w:hAnsi="Times New Roman" w:cs="Times New Roman"/>
        </w:rPr>
        <w:t>Ashras</w:t>
      </w:r>
      <w:proofErr w:type="spellEnd"/>
      <w:r>
        <w:rPr>
          <w:rFonts w:ascii="Times New Roman" w:hAnsi="Times New Roman" w:cs="Times New Roman"/>
        </w:rPr>
        <w:t xml:space="preserve"> (213/828) following them contributed much in establishing and determining the basics of this school and they deserve to be mentioned as the predecessor metaphysicians of </w:t>
      </w:r>
      <w:proofErr w:type="spellStart"/>
      <w:r>
        <w:rPr>
          <w:rFonts w:ascii="Times New Roman" w:hAnsi="Times New Roman" w:cs="Times New Roman"/>
        </w:rPr>
        <w:t>Mu‘tazila</w:t>
      </w:r>
      <w:proofErr w:type="spellEnd"/>
      <w:r>
        <w:rPr>
          <w:rFonts w:ascii="Times New Roman" w:hAnsi="Times New Roman" w:cs="Times New Roman"/>
        </w:rPr>
        <w:t xml:space="preserve">. The last names to be mentioned are </w:t>
      </w:r>
      <w:proofErr w:type="spellStart"/>
      <w:r>
        <w:rPr>
          <w:rFonts w:ascii="Times New Roman" w:hAnsi="Times New Roman" w:cs="Times New Roman"/>
        </w:rPr>
        <w:t>Jubba’īs</w:t>
      </w:r>
      <w:proofErr w:type="spellEnd"/>
      <w:r>
        <w:rPr>
          <w:rFonts w:ascii="Times New Roman" w:hAnsi="Times New Roman" w:cs="Times New Roman"/>
        </w:rPr>
        <w:t xml:space="preserve"> who presented a splendid epilogue to the movement of rationalism in Medieval Islam. </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 xml:space="preserve">Thanks to these intellectuals, in the eighth century, at Basra and Baghdad, the so-called </w:t>
      </w:r>
      <w:proofErr w:type="spellStart"/>
      <w:r>
        <w:rPr>
          <w:rFonts w:ascii="Times New Roman" w:hAnsi="Times New Roman" w:cs="Times New Roman"/>
        </w:rPr>
        <w:t>Mu‘tazila</w:t>
      </w:r>
      <w:proofErr w:type="spellEnd"/>
      <w:r>
        <w:rPr>
          <w:rFonts w:ascii="Times New Roman" w:hAnsi="Times New Roman" w:cs="Times New Roman"/>
        </w:rPr>
        <w:t xml:space="preserve"> were engaged in debates on religion, politics and cosmology, as well as the defense of Islamic creed against non-Muslim dogmas. That began to happen during the Umayyad rule based in Damascus (40-132/661-750). And it happened before the Greco-Arabic translation movement in Baghdad was getting well under way during the reigns of the ‘Abbasid Caliphs al-</w:t>
      </w:r>
      <w:proofErr w:type="spellStart"/>
      <w:r>
        <w:rPr>
          <w:rFonts w:ascii="Times New Roman" w:hAnsi="Times New Roman" w:cs="Times New Roman"/>
        </w:rPr>
        <w:t>Mansūr</w:t>
      </w:r>
      <w:proofErr w:type="spellEnd"/>
      <w:r>
        <w:rPr>
          <w:rFonts w:ascii="Times New Roman" w:hAnsi="Times New Roman" w:cs="Times New Roman"/>
        </w:rPr>
        <w:t xml:space="preserve"> and al-</w:t>
      </w:r>
      <w:proofErr w:type="spellStart"/>
      <w:r>
        <w:rPr>
          <w:rFonts w:ascii="Times New Roman" w:hAnsi="Times New Roman" w:cs="Times New Roman"/>
        </w:rPr>
        <w:t>Rashīd</w:t>
      </w:r>
      <w:proofErr w:type="spellEnd"/>
      <w:r>
        <w:rPr>
          <w:rFonts w:ascii="Times New Roman" w:hAnsi="Times New Roman" w:cs="Times New Roman"/>
        </w:rPr>
        <w:t>. The seventh caliph, al-</w:t>
      </w:r>
      <w:proofErr w:type="spellStart"/>
      <w:r>
        <w:rPr>
          <w:rFonts w:ascii="Times New Roman" w:hAnsi="Times New Roman" w:cs="Times New Roman"/>
        </w:rPr>
        <w:t>Ma’mun</w:t>
      </w:r>
      <w:proofErr w:type="spellEnd"/>
      <w:r>
        <w:rPr>
          <w:rFonts w:ascii="Times New Roman" w:hAnsi="Times New Roman" w:cs="Times New Roman"/>
        </w:rPr>
        <w:t xml:space="preserve">, during whose reign (198-218) the translations from </w:t>
      </w:r>
      <w:proofErr w:type="spellStart"/>
      <w:r>
        <w:rPr>
          <w:rFonts w:ascii="Times New Roman" w:hAnsi="Times New Roman" w:cs="Times New Roman"/>
        </w:rPr>
        <w:t>Syriac</w:t>
      </w:r>
      <w:proofErr w:type="spellEnd"/>
      <w:r>
        <w:rPr>
          <w:rFonts w:ascii="Times New Roman" w:hAnsi="Times New Roman" w:cs="Times New Roman"/>
        </w:rPr>
        <w:t xml:space="preserve"> and Greek in science, medicine, mathematics, and philosophy reached a culminating point, was also a patron of the rationalizing </w:t>
      </w:r>
      <w:proofErr w:type="spellStart"/>
      <w:r>
        <w:rPr>
          <w:rFonts w:ascii="Times New Roman" w:hAnsi="Times New Roman" w:cs="Times New Roman"/>
        </w:rPr>
        <w:t>Mu‘tazila</w:t>
      </w:r>
      <w:proofErr w:type="spellEnd"/>
      <w:r>
        <w:rPr>
          <w:rFonts w:ascii="Times New Roman" w:hAnsi="Times New Roman" w:cs="Times New Roman"/>
        </w:rPr>
        <w:t xml:space="preserve">. The two Abbasids following </w:t>
      </w:r>
      <w:proofErr w:type="spellStart"/>
      <w:r>
        <w:rPr>
          <w:rFonts w:ascii="Times New Roman" w:hAnsi="Times New Roman" w:cs="Times New Roman"/>
        </w:rPr>
        <w:t>Ma’mūn</w:t>
      </w:r>
      <w:proofErr w:type="spellEnd"/>
      <w:r>
        <w:rPr>
          <w:rFonts w:ascii="Times New Roman" w:hAnsi="Times New Roman" w:cs="Times New Roman"/>
        </w:rPr>
        <w:t xml:space="preserve"> were </w:t>
      </w:r>
      <w:proofErr w:type="spellStart"/>
      <w:r>
        <w:rPr>
          <w:rFonts w:ascii="Times New Roman" w:hAnsi="Times New Roman" w:cs="Times New Roman"/>
        </w:rPr>
        <w:t>Wāthiq</w:t>
      </w:r>
      <w:proofErr w:type="spellEnd"/>
      <w:r>
        <w:rPr>
          <w:rFonts w:ascii="Times New Roman" w:hAnsi="Times New Roman" w:cs="Times New Roman"/>
        </w:rPr>
        <w:t xml:space="preserve"> and </w:t>
      </w:r>
      <w:proofErr w:type="spellStart"/>
      <w:r>
        <w:rPr>
          <w:rFonts w:ascii="Times New Roman" w:hAnsi="Times New Roman" w:cs="Times New Roman"/>
        </w:rPr>
        <w:t>Mu‘tasim</w:t>
      </w:r>
      <w:proofErr w:type="spellEnd"/>
      <w:r>
        <w:rPr>
          <w:rFonts w:ascii="Times New Roman" w:hAnsi="Times New Roman" w:cs="Times New Roman"/>
        </w:rPr>
        <w:t xml:space="preserve">, who supported </w:t>
      </w:r>
      <w:proofErr w:type="spellStart"/>
      <w:r>
        <w:rPr>
          <w:rFonts w:ascii="Times New Roman" w:hAnsi="Times New Roman" w:cs="Times New Roman"/>
        </w:rPr>
        <w:t>Mu‘tazila</w:t>
      </w:r>
      <w:proofErr w:type="spellEnd"/>
      <w:r>
        <w:rPr>
          <w:rFonts w:ascii="Times New Roman" w:hAnsi="Times New Roman" w:cs="Times New Roman"/>
        </w:rPr>
        <w:t xml:space="preserve"> wholeheartedly. This line continued until it was abandoned by al-</w:t>
      </w:r>
      <w:proofErr w:type="spellStart"/>
      <w:r>
        <w:rPr>
          <w:rFonts w:ascii="Times New Roman" w:hAnsi="Times New Roman" w:cs="Times New Roman"/>
        </w:rPr>
        <w:t>Mutawakkil</w:t>
      </w:r>
      <w:proofErr w:type="spellEnd"/>
      <w:r>
        <w:rPr>
          <w:rFonts w:ascii="Times New Roman" w:hAnsi="Times New Roman" w:cs="Times New Roman"/>
        </w:rPr>
        <w:t xml:space="preserve">. </w:t>
      </w:r>
      <w:proofErr w:type="spellStart"/>
      <w:r>
        <w:rPr>
          <w:rFonts w:ascii="Times New Roman" w:hAnsi="Times New Roman" w:cs="Times New Roman"/>
        </w:rPr>
        <w:t>Mu‘tazila</w:t>
      </w:r>
      <w:proofErr w:type="spellEnd"/>
      <w:r>
        <w:rPr>
          <w:rFonts w:ascii="Times New Roman" w:hAnsi="Times New Roman" w:cs="Times New Roman"/>
        </w:rPr>
        <w:t xml:space="preserve"> served as a unique school to establish and defends these basics as many as two hundred years until new ones, like </w:t>
      </w:r>
      <w:proofErr w:type="spellStart"/>
      <w:r>
        <w:rPr>
          <w:rFonts w:ascii="Times New Roman" w:hAnsi="Times New Roman" w:cs="Times New Roman"/>
        </w:rPr>
        <w:t>Ash‘arī</w:t>
      </w:r>
      <w:proofErr w:type="spellEnd"/>
      <w:r>
        <w:rPr>
          <w:rFonts w:ascii="Times New Roman" w:hAnsi="Times New Roman" w:cs="Times New Roman"/>
        </w:rPr>
        <w:t xml:space="preserve"> and </w:t>
      </w:r>
      <w:proofErr w:type="spellStart"/>
      <w:r>
        <w:rPr>
          <w:rFonts w:ascii="Times New Roman" w:hAnsi="Times New Roman" w:cs="Times New Roman"/>
        </w:rPr>
        <w:t>Māturīdī</w:t>
      </w:r>
      <w:proofErr w:type="spellEnd"/>
      <w:r>
        <w:rPr>
          <w:rFonts w:ascii="Times New Roman" w:hAnsi="Times New Roman" w:cs="Times New Roman"/>
        </w:rPr>
        <w:t xml:space="preserve"> emerged.  </w:t>
      </w:r>
    </w:p>
    <w:p w:rsidR="001512E9" w:rsidRDefault="001512E9" w:rsidP="001512E9">
      <w:pPr>
        <w:spacing w:after="120" w:line="240" w:lineRule="auto"/>
        <w:ind w:left="567" w:right="334"/>
        <w:jc w:val="both"/>
        <w:rPr>
          <w:rFonts w:ascii="Times New Roman" w:hAnsi="Times New Roman" w:cs="Times New Roman"/>
        </w:rPr>
      </w:pPr>
      <w:r>
        <w:rPr>
          <w:rFonts w:ascii="Times New Roman" w:hAnsi="Times New Roman" w:cs="Times New Roman"/>
        </w:rPr>
        <w:t>These figures were mostly criticized by mainstream Islam not just because they referred to reasoning in understanding the Scripture but because the segregation they gave rise to in Muslim community. The community was a too young and immature yet to tolerate this segregation, so by labeling them as heterodox the community tried to get rid of them. And this was done in the hands of orthodox (Sunnite) theology.</w:t>
      </w:r>
    </w:p>
    <w:p w:rsidR="001512E9" w:rsidRDefault="001512E9" w:rsidP="001512E9"/>
    <w:p w:rsidR="001512E9" w:rsidRDefault="001512E9" w:rsidP="00D724EF">
      <w:bookmarkStart w:id="0" w:name="_GoBack"/>
      <w:bookmarkEnd w:id="0"/>
    </w:p>
    <w:sectPr w:rsidR="001512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F5F" w:rsidRDefault="002C5F5F" w:rsidP="00D724EF">
      <w:pPr>
        <w:spacing w:after="0" w:line="240" w:lineRule="auto"/>
      </w:pPr>
      <w:r>
        <w:separator/>
      </w:r>
    </w:p>
  </w:endnote>
  <w:endnote w:type="continuationSeparator" w:id="0">
    <w:p w:rsidR="002C5F5F" w:rsidRDefault="002C5F5F" w:rsidP="00D7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F5F" w:rsidRDefault="002C5F5F" w:rsidP="00D724EF">
      <w:pPr>
        <w:spacing w:after="0" w:line="240" w:lineRule="auto"/>
      </w:pPr>
      <w:r>
        <w:separator/>
      </w:r>
    </w:p>
  </w:footnote>
  <w:footnote w:type="continuationSeparator" w:id="0">
    <w:p w:rsidR="002C5F5F" w:rsidRDefault="002C5F5F" w:rsidP="00D724EF">
      <w:pPr>
        <w:spacing w:after="0" w:line="240" w:lineRule="auto"/>
      </w:pPr>
      <w:r>
        <w:continuationSeparator/>
      </w:r>
    </w:p>
  </w:footnote>
  <w:footnote w:id="1">
    <w:p w:rsidR="00D724EF" w:rsidRPr="00AF77B7" w:rsidRDefault="00D724EF" w:rsidP="00D724EF">
      <w:pPr>
        <w:pStyle w:val="DipnotMetni"/>
        <w:ind w:left="567" w:right="334"/>
        <w:jc w:val="both"/>
        <w:rPr>
          <w:rFonts w:ascii="Times New Roman" w:hAnsi="Times New Roman" w:cs="Times New Roman"/>
          <w:lang w:val="tr-TR"/>
        </w:rPr>
      </w:pPr>
      <w:r w:rsidRPr="00AF77B7">
        <w:rPr>
          <w:rStyle w:val="DipnotBavurusu"/>
          <w:rFonts w:ascii="Times New Roman" w:hAnsi="Times New Roman" w:cs="Times New Roman"/>
        </w:rPr>
        <w:footnoteRef/>
      </w:r>
      <w:r w:rsidRPr="00AF77B7">
        <w:rPr>
          <w:rFonts w:ascii="Times New Roman" w:hAnsi="Times New Roman" w:cs="Times New Roman"/>
        </w:rPr>
        <w:t xml:space="preserve"> </w:t>
      </w:r>
      <w:proofErr w:type="spellStart"/>
      <w:r w:rsidRPr="00AF77B7">
        <w:rPr>
          <w:rFonts w:ascii="Times New Roman" w:hAnsi="Times New Roman" w:cs="Times New Roman"/>
          <w:lang w:val="tr-TR"/>
        </w:rPr>
        <w:t>İbn</w:t>
      </w:r>
      <w:proofErr w:type="spellEnd"/>
      <w:r w:rsidRPr="00AF77B7">
        <w:rPr>
          <w:rFonts w:ascii="Times New Roman" w:hAnsi="Times New Roman" w:cs="Times New Roman"/>
          <w:lang w:val="tr-TR"/>
        </w:rPr>
        <w:t xml:space="preserve"> </w:t>
      </w:r>
      <w:proofErr w:type="spellStart"/>
      <w:r w:rsidRPr="00AF77B7">
        <w:rPr>
          <w:rFonts w:ascii="Times New Roman" w:hAnsi="Times New Roman" w:cs="Times New Roman"/>
          <w:lang w:val="tr-TR"/>
        </w:rPr>
        <w:t>Kaldun</w:t>
      </w:r>
      <w:proofErr w:type="spellEnd"/>
      <w:r w:rsidRPr="00AF77B7">
        <w:rPr>
          <w:rFonts w:ascii="Times New Roman" w:hAnsi="Times New Roman" w:cs="Times New Roman"/>
          <w:lang w:val="tr-TR"/>
        </w:rPr>
        <w:t xml:space="preserve">, </w:t>
      </w:r>
      <w:proofErr w:type="spellStart"/>
      <w:r w:rsidRPr="00AF77B7">
        <w:rPr>
          <w:rFonts w:ascii="Times New Roman" w:hAnsi="Times New Roman" w:cs="Times New Roman"/>
          <w:i/>
          <w:lang w:val="tr-TR"/>
        </w:rPr>
        <w:t>Muqaddima</w:t>
      </w:r>
      <w:proofErr w:type="spellEnd"/>
      <w:r w:rsidRPr="00AF77B7">
        <w:rPr>
          <w:rFonts w:ascii="Times New Roman" w:hAnsi="Times New Roman" w:cs="Times New Roman"/>
          <w:i/>
          <w:lang w:val="tr-TR"/>
        </w:rPr>
        <w:t xml:space="preserve">, </w:t>
      </w:r>
      <w:r w:rsidRPr="00AF77B7">
        <w:rPr>
          <w:rFonts w:ascii="Times New Roman" w:hAnsi="Times New Roman" w:cs="Times New Roman"/>
          <w:lang w:val="tr-TR"/>
        </w:rPr>
        <w:t>1967, 2, 438.</w:t>
      </w:r>
    </w:p>
  </w:footnote>
  <w:footnote w:id="2">
    <w:p w:rsidR="001512E9" w:rsidRDefault="001512E9" w:rsidP="001512E9">
      <w:pPr>
        <w:autoSpaceDE w:val="0"/>
        <w:autoSpaceDN w:val="0"/>
        <w:adjustRightInd w:val="0"/>
        <w:spacing w:after="0" w:line="240" w:lineRule="auto"/>
        <w:ind w:left="562" w:right="331"/>
        <w:jc w:val="both"/>
        <w:rPr>
          <w:rFonts w:ascii="Times New Roman" w:hAnsi="Times New Roman" w:cs="Times New Roman"/>
          <w:sz w:val="20"/>
          <w:szCs w:val="20"/>
          <w:lang w:val="tr-TR"/>
        </w:rPr>
      </w:pPr>
      <w:r>
        <w:rPr>
          <w:rStyle w:val="DipnotBavurusu"/>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For</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Ḥasan’s</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letter</w:t>
      </w:r>
      <w:proofErr w:type="spellEnd"/>
      <w:r>
        <w:rPr>
          <w:rFonts w:ascii="Times New Roman" w:hAnsi="Times New Roman" w:cs="Times New Roman"/>
          <w:sz w:val="20"/>
          <w:szCs w:val="20"/>
          <w:lang w:val="tr-TR"/>
        </w:rPr>
        <w:t xml:space="preserve"> </w:t>
      </w:r>
      <w:proofErr w:type="spellStart"/>
      <w:r>
        <w:rPr>
          <w:rFonts w:ascii="Times New Roman" w:hAnsi="Times New Roman" w:cs="Times New Roman"/>
          <w:sz w:val="20"/>
          <w:szCs w:val="20"/>
          <w:lang w:val="tr-TR"/>
        </w:rPr>
        <w:t>see</w:t>
      </w:r>
      <w:proofErr w:type="spellEnd"/>
      <w:r>
        <w:rPr>
          <w:rFonts w:ascii="Times New Roman" w:hAnsi="Times New Roman" w:cs="Times New Roman"/>
          <w:sz w:val="20"/>
          <w:szCs w:val="20"/>
          <w:lang w:val="tr-TR"/>
        </w:rPr>
        <w:t xml:space="preserve"> </w:t>
      </w:r>
      <w:r>
        <w:rPr>
          <w:rFonts w:ascii="Times New Roman" w:hAnsi="Times New Roman" w:cs="Times New Roman"/>
          <w:bCs/>
          <w:i/>
          <w:sz w:val="20"/>
          <w:szCs w:val="20"/>
        </w:rPr>
        <w:t>al-</w:t>
      </w:r>
      <w:proofErr w:type="spellStart"/>
      <w:r>
        <w:rPr>
          <w:rFonts w:ascii="Times New Roman" w:hAnsi="Times New Roman" w:cs="Times New Roman"/>
          <w:bCs/>
          <w:i/>
          <w:sz w:val="20"/>
          <w:szCs w:val="20"/>
        </w:rPr>
        <w:t>Ḥasan</w:t>
      </w:r>
      <w:proofErr w:type="spellEnd"/>
      <w:r>
        <w:rPr>
          <w:rFonts w:ascii="Times New Roman" w:hAnsi="Times New Roman" w:cs="Times New Roman"/>
          <w:bCs/>
          <w:i/>
          <w:sz w:val="20"/>
          <w:szCs w:val="20"/>
        </w:rPr>
        <w:t xml:space="preserve"> al-</w:t>
      </w:r>
      <w:proofErr w:type="spellStart"/>
      <w:r>
        <w:rPr>
          <w:rFonts w:ascii="Times New Roman" w:hAnsi="Times New Roman" w:cs="Times New Roman"/>
          <w:bCs/>
          <w:i/>
          <w:sz w:val="20"/>
          <w:szCs w:val="20"/>
        </w:rPr>
        <w:t>Baṣri</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Risāla</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Studien</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zur</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Islamischen</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Frommigkeit</w:t>
      </w:r>
      <w:proofErr w:type="spellEnd"/>
      <w:r>
        <w:rPr>
          <w:rFonts w:ascii="Times New Roman" w:hAnsi="Times New Roman" w:cs="Times New Roman"/>
          <w:bCs/>
          <w:i/>
          <w:sz w:val="20"/>
          <w:szCs w:val="20"/>
        </w:rPr>
        <w:t xml:space="preserve"> I</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Ḥasan</w:t>
      </w:r>
      <w:proofErr w:type="spellEnd"/>
      <w:r>
        <w:rPr>
          <w:rFonts w:ascii="Times New Roman" w:hAnsi="Times New Roman" w:cs="Times New Roman"/>
          <w:bCs/>
          <w:sz w:val="20"/>
          <w:szCs w:val="20"/>
        </w:rPr>
        <w:t xml:space="preserve"> al-</w:t>
      </w:r>
      <w:proofErr w:type="spellStart"/>
      <w:r>
        <w:rPr>
          <w:rFonts w:ascii="Times New Roman" w:hAnsi="Times New Roman" w:cs="Times New Roman"/>
          <w:bCs/>
          <w:sz w:val="20"/>
          <w:szCs w:val="20"/>
        </w:rPr>
        <w:t>Baṣrī</w:t>
      </w:r>
      <w:proofErr w:type="spellEnd"/>
      <w:r>
        <w:rPr>
          <w:rFonts w:ascii="Times New Roman" w:hAnsi="Times New Roman" w:cs="Times New Roman"/>
          <w:bCs/>
          <w:sz w:val="20"/>
          <w:szCs w:val="20"/>
        </w:rPr>
        <w:t xml:space="preserve">, ed. H. Ritter, </w:t>
      </w:r>
      <w:r>
        <w:rPr>
          <w:rFonts w:ascii="Times New Roman" w:hAnsi="Times New Roman" w:cs="Times New Roman"/>
          <w:bCs/>
          <w:i/>
          <w:sz w:val="20"/>
          <w:szCs w:val="20"/>
        </w:rPr>
        <w:t>Der Islam</w:t>
      </w:r>
      <w:r>
        <w:rPr>
          <w:rFonts w:ascii="Times New Roman" w:hAnsi="Times New Roman" w:cs="Times New Roman"/>
          <w:bCs/>
          <w:sz w:val="20"/>
          <w:szCs w:val="20"/>
        </w:rPr>
        <w:t xml:space="preserve"> 21 (1933), pp.67-83. Also see, Schwarz, “'The Letter of al-</w:t>
      </w:r>
      <w:proofErr w:type="spellStart"/>
      <w:r>
        <w:rPr>
          <w:rFonts w:ascii="Times New Roman" w:hAnsi="Times New Roman" w:cs="Times New Roman"/>
          <w:bCs/>
          <w:sz w:val="20"/>
          <w:szCs w:val="20"/>
        </w:rPr>
        <w:t>Ḥasan</w:t>
      </w:r>
      <w:proofErr w:type="spellEnd"/>
      <w:r>
        <w:rPr>
          <w:rFonts w:ascii="Times New Roman" w:hAnsi="Times New Roman" w:cs="Times New Roman"/>
          <w:bCs/>
          <w:sz w:val="20"/>
          <w:szCs w:val="20"/>
        </w:rPr>
        <w:t xml:space="preserve"> al-</w:t>
      </w:r>
      <w:proofErr w:type="spellStart"/>
      <w:r>
        <w:rPr>
          <w:rFonts w:ascii="Times New Roman" w:hAnsi="Times New Roman" w:cs="Times New Roman"/>
          <w:bCs/>
          <w:sz w:val="20"/>
          <w:szCs w:val="20"/>
        </w:rPr>
        <w:t>Baṣrī</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i/>
          <w:sz w:val="20"/>
          <w:szCs w:val="20"/>
        </w:rPr>
        <w:t>Oriens</w:t>
      </w:r>
      <w:proofErr w:type="spellEnd"/>
      <w:r>
        <w:rPr>
          <w:rFonts w:ascii="Times New Roman" w:hAnsi="Times New Roman" w:cs="Times New Roman"/>
          <w:bCs/>
          <w:sz w:val="20"/>
          <w:szCs w:val="20"/>
        </w:rPr>
        <w:t>, 20 (1972), pp.15-30.</w:t>
      </w:r>
      <w:r>
        <w:rPr>
          <w:rFonts w:ascii="Times New Roman" w:hAnsi="Times New Roman" w:cs="Times New Roman"/>
          <w:sz w:val="20"/>
          <w:szCs w:val="20"/>
          <w:lang w:val="tr-TR"/>
        </w:rPr>
        <w:t xml:space="preserve"> </w:t>
      </w:r>
    </w:p>
  </w:footnote>
  <w:footnote w:id="3">
    <w:p w:rsidR="001512E9" w:rsidRDefault="001512E9" w:rsidP="001512E9">
      <w:pPr>
        <w:pStyle w:val="DipnotMetni"/>
        <w:ind w:left="562" w:right="331"/>
        <w:jc w:val="both"/>
        <w:rPr>
          <w:rFonts w:ascii="Times New Roman" w:hAnsi="Times New Roman" w:cs="Times New Roman"/>
          <w:lang w:val="tr-TR"/>
        </w:rPr>
      </w:pPr>
      <w:r>
        <w:rPr>
          <w:rStyle w:val="DipnotBavurusu"/>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lang w:val="tr-TR"/>
        </w:rPr>
        <w:t>Op.cit</w:t>
      </w:r>
      <w:proofErr w:type="spellEnd"/>
      <w:proofErr w:type="gramStart"/>
      <w:r>
        <w:rPr>
          <w:rFonts w:ascii="Times New Roman" w:hAnsi="Times New Roman" w:cs="Times New Roman"/>
          <w:lang w:val="tr-TR"/>
        </w:rPr>
        <w:t>.,</w:t>
      </w:r>
      <w:proofErr w:type="gramEnd"/>
      <w:r>
        <w:rPr>
          <w:rFonts w:ascii="Times New Roman" w:hAnsi="Times New Roman" w:cs="Times New Roman"/>
          <w:lang w:val="tr-TR"/>
        </w:rPr>
        <w:t xml:space="preserve"> p.68.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4D74"/>
    <w:multiLevelType w:val="hybridMultilevel"/>
    <w:tmpl w:val="FB32607C"/>
    <w:lvl w:ilvl="0" w:tplc="9FECCA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91"/>
    <w:rsid w:val="001512E9"/>
    <w:rsid w:val="002C5F5F"/>
    <w:rsid w:val="003E50C8"/>
    <w:rsid w:val="00747F29"/>
    <w:rsid w:val="00D724EF"/>
    <w:rsid w:val="00EB17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1D95"/>
  <w15:chartTrackingRefBased/>
  <w15:docId w15:val="{9753FE2A-E2D1-46FC-A559-E40DB752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4EF"/>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24EF"/>
    <w:pPr>
      <w:ind w:left="720"/>
      <w:contextualSpacing/>
    </w:pPr>
  </w:style>
  <w:style w:type="paragraph" w:styleId="DipnotMetni">
    <w:name w:val="footnote text"/>
    <w:basedOn w:val="Normal"/>
    <w:link w:val="DipnotMetniChar"/>
    <w:uiPriority w:val="99"/>
    <w:semiHidden/>
    <w:unhideWhenUsed/>
    <w:rsid w:val="00D724E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724EF"/>
    <w:rPr>
      <w:sz w:val="20"/>
      <w:szCs w:val="20"/>
      <w:lang w:val="en-US"/>
    </w:rPr>
  </w:style>
  <w:style w:type="character" w:styleId="DipnotBavurusu">
    <w:name w:val="footnote reference"/>
    <w:basedOn w:val="VarsaylanParagrafYazTipi"/>
    <w:uiPriority w:val="99"/>
    <w:semiHidden/>
    <w:unhideWhenUsed/>
    <w:rsid w:val="00D724EF"/>
    <w:rPr>
      <w:vertAlign w:val="superscript"/>
    </w:rPr>
  </w:style>
  <w:style w:type="character" w:styleId="Kpr">
    <w:name w:val="Hyperlink"/>
    <w:basedOn w:val="VarsaylanParagrafYazTipi"/>
    <w:uiPriority w:val="99"/>
    <w:unhideWhenUsed/>
    <w:rsid w:val="00D72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27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zgun@ankar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4</cp:revision>
  <dcterms:created xsi:type="dcterms:W3CDTF">2020-05-07T09:03:00Z</dcterms:created>
  <dcterms:modified xsi:type="dcterms:W3CDTF">2020-05-07T09:10:00Z</dcterms:modified>
</cp:coreProperties>
</file>