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
        </w:rPr>
      </w:pPr>
      <w:r w:rsidRPr="00AF77B7">
        <w:rPr>
          <w:rFonts w:ascii="Times New Roman" w:hAnsi="Times New Roman" w:cs="Times New Roman"/>
          <w:b/>
        </w:rPr>
        <w:t>THE PROBLEMATIC</w:t>
      </w:r>
      <w:r>
        <w:rPr>
          <w:rFonts w:ascii="Times New Roman" w:hAnsi="Times New Roman" w:cs="Times New Roman"/>
          <w:b/>
        </w:rPr>
        <w:t xml:space="preserve"> of KALĀM</w:t>
      </w:r>
    </w:p>
    <w:p w:rsidR="0014094B" w:rsidRDefault="0014094B" w:rsidP="00FC493E">
      <w:pPr>
        <w:autoSpaceDE w:val="0"/>
        <w:autoSpaceDN w:val="0"/>
        <w:adjustRightInd w:val="0"/>
        <w:spacing w:after="0" w:line="240" w:lineRule="auto"/>
        <w:ind w:left="567" w:right="334"/>
        <w:jc w:val="both"/>
        <w:rPr>
          <w:rFonts w:ascii="Times New Roman" w:hAnsi="Times New Roman" w:cs="Times New Roman"/>
        </w:rPr>
      </w:pPr>
    </w:p>
    <w:p w:rsidR="0014094B" w:rsidRDefault="0014094B" w:rsidP="00FC493E">
      <w:pPr>
        <w:autoSpaceDE w:val="0"/>
        <w:autoSpaceDN w:val="0"/>
        <w:adjustRightInd w:val="0"/>
        <w:spacing w:after="0" w:line="240" w:lineRule="auto"/>
        <w:ind w:left="567" w:right="334"/>
        <w:jc w:val="both"/>
        <w:rPr>
          <w:rFonts w:ascii="Times New Roman" w:hAnsi="Times New Roman" w:cs="Times New Roman"/>
        </w:rPr>
      </w:pPr>
      <w:r>
        <w:rPr>
          <w:rFonts w:ascii="Times New Roman" w:hAnsi="Times New Roman" w:cs="Times New Roman"/>
        </w:rPr>
        <w:t>Prof. Dr. Şaban Ali Düzgün</w:t>
      </w:r>
    </w:p>
    <w:p w:rsidR="0014094B" w:rsidRDefault="0014094B" w:rsidP="00FC493E">
      <w:pPr>
        <w:autoSpaceDE w:val="0"/>
        <w:autoSpaceDN w:val="0"/>
        <w:adjustRightInd w:val="0"/>
        <w:spacing w:after="0" w:line="240" w:lineRule="auto"/>
        <w:ind w:left="567" w:right="334"/>
        <w:jc w:val="both"/>
        <w:rPr>
          <w:rFonts w:ascii="Times New Roman" w:hAnsi="Times New Roman" w:cs="Times New Roman"/>
        </w:rPr>
      </w:pPr>
    </w:p>
    <w:p w:rsidR="0014094B" w:rsidRDefault="0014094B" w:rsidP="00FC493E">
      <w:pPr>
        <w:autoSpaceDE w:val="0"/>
        <w:autoSpaceDN w:val="0"/>
        <w:adjustRightInd w:val="0"/>
        <w:spacing w:after="0" w:line="240" w:lineRule="auto"/>
        <w:ind w:left="567" w:right="334"/>
        <w:jc w:val="both"/>
        <w:rPr>
          <w:rFonts w:ascii="Times New Roman" w:hAnsi="Times New Roman" w:cs="Times New Roman"/>
        </w:rPr>
      </w:pPr>
    </w:p>
    <w:p w:rsidR="00FC493E" w:rsidRDefault="00FC493E" w:rsidP="00FC493E">
      <w:pPr>
        <w:autoSpaceDE w:val="0"/>
        <w:autoSpaceDN w:val="0"/>
        <w:adjustRightInd w:val="0"/>
        <w:spacing w:after="0" w:line="240" w:lineRule="auto"/>
        <w:ind w:left="567" w:right="334"/>
        <w:jc w:val="both"/>
        <w:rPr>
          <w:rFonts w:ascii="Times New Roman" w:hAnsi="Times New Roman" w:cs="Times New Roman"/>
        </w:rPr>
      </w:pPr>
      <w:bookmarkStart w:id="0" w:name="_GoBack"/>
      <w:bookmarkEnd w:id="0"/>
      <w:r w:rsidRPr="00AF77B7">
        <w:rPr>
          <w:rFonts w:ascii="Times New Roman" w:hAnsi="Times New Roman" w:cs="Times New Roman"/>
        </w:rPr>
        <w:t xml:space="preserve">To get to know how </w:t>
      </w:r>
      <w:r>
        <w:rPr>
          <w:rFonts w:ascii="Times New Roman" w:hAnsi="Times New Roman" w:cs="Times New Roman"/>
        </w:rPr>
        <w:t>kalām</w:t>
      </w:r>
      <w:r w:rsidRPr="00AF77B7">
        <w:rPr>
          <w:rFonts w:ascii="Times New Roman" w:hAnsi="Times New Roman" w:cs="Times New Roman"/>
        </w:rPr>
        <w:t xml:space="preserve"> deals its systematic subject matters two topics will be given as examples: One is theory of knowledge and the second is existence of God and the problems of attributes of God. </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rPr>
      </w:pPr>
      <w:r w:rsidRPr="00AF77B7">
        <w:rPr>
          <w:rFonts w:ascii="Times New Roman" w:hAnsi="Times New Roman" w:cs="Times New Roman"/>
        </w:rPr>
        <w:t xml:space="preserve"> </w:t>
      </w:r>
    </w:p>
    <w:p w:rsidR="00FC493E" w:rsidRPr="00AF77B7" w:rsidRDefault="00FC493E" w:rsidP="00FC493E">
      <w:pPr>
        <w:spacing w:after="0" w:line="240" w:lineRule="auto"/>
        <w:ind w:left="567" w:right="334"/>
        <w:jc w:val="both"/>
        <w:rPr>
          <w:rFonts w:ascii="Times New Roman" w:hAnsi="Times New Roman" w:cs="Times New Roman"/>
          <w:b/>
        </w:rPr>
      </w:pPr>
      <w:r w:rsidRPr="00AF77B7">
        <w:rPr>
          <w:rFonts w:ascii="Times New Roman" w:hAnsi="Times New Roman" w:cs="Times New Roman"/>
          <w:b/>
        </w:rPr>
        <w:t>Theory of Knowledge</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lang w:val="tr-TR"/>
        </w:rPr>
      </w:pPr>
      <w:r w:rsidRPr="00AF77B7">
        <w:rPr>
          <w:rFonts w:ascii="Times New Roman" w:hAnsi="Times New Roman" w:cs="Times New Roman"/>
          <w:lang w:val="tr-TR"/>
        </w:rPr>
        <w:t>The theory of knowledge concerns itself primarily with he possibility, nature and sources of knowledge. Taking the possibility of knowledge for granted, mutakallimūn focused their epistemological effort on the study of the nature and sources of knowledge. Mainly finding its inception in al-Māturīdī, the themes of the nature of knowledge and how it comes about have mainly been the preocupation of Muslim theologians.</w:t>
      </w:r>
    </w:p>
    <w:p w:rsidR="00FC493E"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lang w:val="tr-TR"/>
        </w:rPr>
        <w:t>Initially t</w:t>
      </w:r>
      <w:r w:rsidRPr="00AF77B7">
        <w:rPr>
          <w:rFonts w:ascii="Times New Roman" w:hAnsi="Times New Roman" w:cs="Times New Roman"/>
          <w:bCs/>
        </w:rPr>
        <w:t>he majority of theologians divide human knowledge into two parts: necessary knowledge (</w:t>
      </w:r>
      <w:r w:rsidRPr="00AF77B7">
        <w:rPr>
          <w:rFonts w:ascii="Times New Roman" w:hAnsi="Times New Roman" w:cs="Times New Roman"/>
          <w:bCs/>
          <w:i/>
        </w:rPr>
        <w:t xml:space="preserve">‘ilm </w:t>
      </w:r>
      <w:r>
        <w:rPr>
          <w:rFonts w:ascii="Times New Roman" w:hAnsi="Times New Roman" w:cs="Times New Roman"/>
          <w:bCs/>
          <w:i/>
        </w:rPr>
        <w:t>ḍ</w:t>
      </w:r>
      <w:r w:rsidRPr="00AF77B7">
        <w:rPr>
          <w:rFonts w:ascii="Times New Roman" w:hAnsi="Times New Roman" w:cs="Times New Roman"/>
          <w:bCs/>
          <w:i/>
        </w:rPr>
        <w:t>arūrī</w:t>
      </w:r>
      <w:r w:rsidRPr="00AF77B7">
        <w:rPr>
          <w:rStyle w:val="DipnotBavurusu"/>
          <w:rFonts w:ascii="Times New Roman" w:hAnsi="Times New Roman" w:cs="Times New Roman"/>
          <w:bCs/>
        </w:rPr>
        <w:footnoteReference w:id="1"/>
      </w:r>
      <w:r w:rsidRPr="00AF77B7">
        <w:rPr>
          <w:rFonts w:ascii="Times New Roman" w:hAnsi="Times New Roman" w:cs="Times New Roman"/>
          <w:bCs/>
        </w:rPr>
        <w:t>) and acquired knowledge (</w:t>
      </w:r>
      <w:r w:rsidRPr="00AF77B7">
        <w:rPr>
          <w:rFonts w:ascii="Times New Roman" w:hAnsi="Times New Roman" w:cs="Times New Roman"/>
          <w:bCs/>
          <w:i/>
        </w:rPr>
        <w:t>'ilm muktasab</w:t>
      </w:r>
      <w:r w:rsidRPr="00AF77B7">
        <w:rPr>
          <w:rFonts w:ascii="Times New Roman" w:hAnsi="Times New Roman" w:cs="Times New Roman"/>
          <w:bCs/>
        </w:rPr>
        <w:t>). Necessary knowledge occurs without man's having power to produce and prove it. The absence of power implies man's inability to prevent this knowledge from taking place in his mind. This conclusion is stated by al-Bāqillānī</w:t>
      </w:r>
      <w:r w:rsidRPr="00AF77B7">
        <w:rPr>
          <w:rStyle w:val="DipnotBavurusu"/>
          <w:rFonts w:ascii="Times New Roman" w:hAnsi="Times New Roman" w:cs="Times New Roman"/>
          <w:bCs/>
        </w:rPr>
        <w:footnoteReference w:id="2"/>
      </w:r>
      <w:r w:rsidRPr="00AF77B7">
        <w:rPr>
          <w:rFonts w:ascii="Times New Roman" w:hAnsi="Times New Roman" w:cs="Times New Roman"/>
          <w:bCs/>
        </w:rPr>
        <w:t>, according to whom man is forced to accept necessary knowledge in such a way that he cannot doubt its existence.</w:t>
      </w:r>
      <w:r w:rsidRPr="00AF77B7">
        <w:rPr>
          <w:rStyle w:val="DipnotBavurusu"/>
          <w:rFonts w:ascii="Times New Roman" w:hAnsi="Times New Roman" w:cs="Times New Roman"/>
          <w:bCs/>
        </w:rPr>
        <w:footnoteReference w:id="3"/>
      </w:r>
      <w:r w:rsidRPr="00AF77B7">
        <w:rPr>
          <w:rFonts w:ascii="Times New Roman" w:hAnsi="Times New Roman" w:cs="Times New Roman"/>
          <w:b/>
          <w:bCs/>
        </w:rPr>
        <w:t xml:space="preserve"> </w:t>
      </w:r>
      <w:r w:rsidRPr="00AF77B7">
        <w:rPr>
          <w:rFonts w:ascii="Times New Roman" w:hAnsi="Times New Roman" w:cs="Times New Roman"/>
          <w:bCs/>
        </w:rPr>
        <w:t xml:space="preserve">Likewise, the </w:t>
      </w:r>
      <w:r>
        <w:rPr>
          <w:rFonts w:ascii="Times New Roman" w:hAnsi="Times New Roman" w:cs="Times New Roman"/>
          <w:bCs/>
        </w:rPr>
        <w:t>Mu’tazilite</w:t>
      </w:r>
      <w:r w:rsidRPr="00AF77B7">
        <w:rPr>
          <w:rFonts w:ascii="Times New Roman" w:hAnsi="Times New Roman" w:cs="Times New Roman"/>
          <w:bCs/>
        </w:rPr>
        <w:t xml:space="preserve"> Mutakallim Qādī ‘Abd al-Jabbār</w:t>
      </w:r>
      <w:r w:rsidRPr="00AF77B7">
        <w:rPr>
          <w:rStyle w:val="DipnotBavurusu"/>
          <w:rFonts w:ascii="Times New Roman" w:hAnsi="Times New Roman" w:cs="Times New Roman"/>
          <w:bCs/>
        </w:rPr>
        <w:footnoteReference w:id="4"/>
      </w:r>
      <w:r w:rsidRPr="00AF77B7">
        <w:rPr>
          <w:rFonts w:ascii="Times New Roman" w:hAnsi="Times New Roman" w:cs="Times New Roman"/>
          <w:bCs/>
        </w:rPr>
        <w:t xml:space="preserve"> defines  ‘</w:t>
      </w:r>
      <w:r w:rsidRPr="00AF77B7">
        <w:rPr>
          <w:rFonts w:ascii="Times New Roman" w:hAnsi="Times New Roman" w:cs="Times New Roman"/>
          <w:bCs/>
          <w:i/>
        </w:rPr>
        <w:t xml:space="preserve">ilm </w:t>
      </w:r>
      <w:r>
        <w:rPr>
          <w:rFonts w:ascii="Times New Roman" w:hAnsi="Times New Roman" w:cs="Times New Roman"/>
          <w:bCs/>
          <w:i/>
        </w:rPr>
        <w:t>ḍ</w:t>
      </w:r>
      <w:r w:rsidRPr="00AF77B7">
        <w:rPr>
          <w:rFonts w:ascii="Times New Roman" w:hAnsi="Times New Roman" w:cs="Times New Roman"/>
          <w:bCs/>
          <w:i/>
        </w:rPr>
        <w:t>arūrī</w:t>
      </w:r>
      <w:r w:rsidRPr="00AF77B7">
        <w:rPr>
          <w:rFonts w:ascii="Times New Roman" w:hAnsi="Times New Roman" w:cs="Times New Roman"/>
          <w:bCs/>
        </w:rPr>
        <w:t xml:space="preserve"> as knowledge which a man cannot repudiate through doubt, or as knowledge which occurs in man but not from himself.</w:t>
      </w:r>
      <w:r w:rsidRPr="00AF77B7">
        <w:rPr>
          <w:rStyle w:val="DipnotBavurusu"/>
          <w:rFonts w:ascii="Times New Roman" w:hAnsi="Times New Roman" w:cs="Times New Roman"/>
          <w:bCs/>
        </w:rPr>
        <w:footnoteReference w:id="5"/>
      </w:r>
      <w:r w:rsidRPr="00AF77B7">
        <w:rPr>
          <w:rFonts w:ascii="Times New Roman" w:hAnsi="Times New Roman" w:cs="Times New Roman"/>
          <w:bCs/>
        </w:rPr>
        <w:t xml:space="preserve"> ‘Abd al-Jabbār adds to his definition the notion that necessary knowledge is produced by God.</w:t>
      </w:r>
      <w:r w:rsidRPr="00AF77B7">
        <w:rPr>
          <w:rStyle w:val="DipnotBavurusu"/>
          <w:rFonts w:ascii="Times New Roman" w:hAnsi="Times New Roman" w:cs="Times New Roman"/>
          <w:bCs/>
        </w:rPr>
        <w:footnoteReference w:id="6"/>
      </w:r>
      <w:r w:rsidRPr="00AF77B7">
        <w:rPr>
          <w:rFonts w:ascii="Times New Roman" w:hAnsi="Times New Roman" w:cs="Times New Roman"/>
          <w:bCs/>
        </w:rPr>
        <w:t xml:space="preserve"> Thus, according to the theologians mentioned above, there are five features of necessary knowledge: </w:t>
      </w:r>
      <w:r w:rsidRPr="00AF77B7">
        <w:rPr>
          <w:rFonts w:ascii="Times New Roman" w:hAnsi="Times New Roman" w:cs="Times New Roman"/>
          <w:b/>
          <w:bCs/>
        </w:rPr>
        <w:t>a</w:t>
      </w:r>
      <w:r w:rsidRPr="00AF77B7">
        <w:rPr>
          <w:rFonts w:ascii="Times New Roman" w:hAnsi="Times New Roman" w:cs="Times New Roman"/>
          <w:bCs/>
        </w:rPr>
        <w:t xml:space="preserve">. occurrence without one's power; </w:t>
      </w:r>
      <w:r w:rsidRPr="00AF77B7">
        <w:rPr>
          <w:rFonts w:ascii="Times New Roman" w:hAnsi="Times New Roman" w:cs="Times New Roman"/>
          <w:b/>
          <w:bCs/>
        </w:rPr>
        <w:t>b</w:t>
      </w:r>
      <w:r w:rsidRPr="00AF77B7">
        <w:rPr>
          <w:rFonts w:ascii="Times New Roman" w:hAnsi="Times New Roman" w:cs="Times New Roman"/>
          <w:bCs/>
        </w:rPr>
        <w:t xml:space="preserve">. necessity; </w:t>
      </w:r>
      <w:r w:rsidRPr="00AF77B7">
        <w:rPr>
          <w:rFonts w:ascii="Times New Roman" w:hAnsi="Times New Roman" w:cs="Times New Roman"/>
          <w:b/>
          <w:bCs/>
        </w:rPr>
        <w:t>c</w:t>
      </w:r>
      <w:r w:rsidRPr="00AF77B7">
        <w:rPr>
          <w:rFonts w:ascii="Times New Roman" w:hAnsi="Times New Roman" w:cs="Times New Roman"/>
          <w:bCs/>
        </w:rPr>
        <w:t xml:space="preserve">. production by God; </w:t>
      </w:r>
      <w:r w:rsidRPr="00AF77B7">
        <w:rPr>
          <w:rFonts w:ascii="Times New Roman" w:hAnsi="Times New Roman" w:cs="Times New Roman"/>
          <w:b/>
          <w:bCs/>
        </w:rPr>
        <w:t>d</w:t>
      </w:r>
      <w:r w:rsidRPr="00AF77B7">
        <w:rPr>
          <w:rFonts w:ascii="Times New Roman" w:hAnsi="Times New Roman" w:cs="Times New Roman"/>
          <w:bCs/>
        </w:rPr>
        <w:t xml:space="preserve">. absence of doubts; and </w:t>
      </w:r>
      <w:r w:rsidRPr="00B44713">
        <w:rPr>
          <w:rFonts w:ascii="Times New Roman" w:hAnsi="Times New Roman" w:cs="Times New Roman"/>
          <w:b/>
          <w:bCs/>
        </w:rPr>
        <w:t>e.</w:t>
      </w:r>
      <w:r w:rsidRPr="00AF77B7">
        <w:rPr>
          <w:rFonts w:ascii="Times New Roman" w:hAnsi="Times New Roman" w:cs="Times New Roman"/>
          <w:bCs/>
        </w:rPr>
        <w:t xml:space="preserve"> absence of speculation.</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p>
    <w:p w:rsidR="00FC493E" w:rsidRPr="00AF77B7" w:rsidRDefault="00FC493E" w:rsidP="00FC493E">
      <w:pPr>
        <w:autoSpaceDE w:val="0"/>
        <w:autoSpaceDN w:val="0"/>
        <w:adjustRightInd w:val="0"/>
        <w:spacing w:after="0" w:line="240" w:lineRule="auto"/>
        <w:ind w:left="567" w:right="334"/>
        <w:rPr>
          <w:rFonts w:ascii="Times New Roman" w:hAnsi="Times New Roman" w:cs="Times New Roman"/>
          <w:b/>
          <w:bCs/>
        </w:rPr>
      </w:pPr>
      <w:r w:rsidRPr="00AF77B7">
        <w:rPr>
          <w:rFonts w:ascii="Times New Roman" w:hAnsi="Times New Roman" w:cs="Times New Roman"/>
          <w:b/>
          <w:bCs/>
        </w:rPr>
        <w:t>Kinds of Necessary Knowledge</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Necessary knowledge is divided into two main kinds: direct or a priori knowledge (</w:t>
      </w:r>
      <w:r w:rsidRPr="00AF77B7">
        <w:rPr>
          <w:rFonts w:ascii="Times New Roman" w:hAnsi="Times New Roman" w:cs="Times New Roman"/>
          <w:bCs/>
          <w:i/>
        </w:rPr>
        <w:t>'ilm badīhī</w:t>
      </w:r>
      <w:r w:rsidRPr="00AF77B7">
        <w:rPr>
          <w:rFonts w:ascii="Times New Roman" w:hAnsi="Times New Roman" w:cs="Times New Roman"/>
          <w:bCs/>
        </w:rPr>
        <w:t>), and sense perception (</w:t>
      </w:r>
      <w:r w:rsidRPr="00AF77B7">
        <w:rPr>
          <w:rFonts w:ascii="Times New Roman" w:hAnsi="Times New Roman" w:cs="Times New Roman"/>
          <w:bCs/>
          <w:i/>
        </w:rPr>
        <w:t xml:space="preserve">'ilm </w:t>
      </w:r>
      <w:r>
        <w:rPr>
          <w:rFonts w:ascii="Times New Roman" w:hAnsi="Times New Roman" w:cs="Times New Roman"/>
          <w:bCs/>
          <w:i/>
        </w:rPr>
        <w:t>ḥ</w:t>
      </w:r>
      <w:r w:rsidRPr="00AF77B7">
        <w:rPr>
          <w:rFonts w:ascii="Times New Roman" w:hAnsi="Times New Roman" w:cs="Times New Roman"/>
          <w:bCs/>
          <w:i/>
        </w:rPr>
        <w:t>issī</w:t>
      </w:r>
      <w:r w:rsidRPr="00AF77B7">
        <w:rPr>
          <w:rFonts w:ascii="Times New Roman" w:hAnsi="Times New Roman" w:cs="Times New Roman"/>
          <w:bCs/>
        </w:rPr>
        <w:t>). The former is again divided into two parts: positive direct knowledge, such as man's self-consciousness and his feeling of pain, delight, hunger, thirst and the like; and negative direct knowledge, such as the knowledge that something is inconceivable, that a thing cannot be eternal and come into being, that a person cannot be dead and alive at the same time. Reliable report (</w:t>
      </w:r>
      <w:r w:rsidRPr="00AF77B7">
        <w:rPr>
          <w:rFonts w:ascii="Times New Roman" w:hAnsi="Times New Roman" w:cs="Times New Roman"/>
          <w:bCs/>
          <w:i/>
        </w:rPr>
        <w:t>khabar mutawātir</w:t>
      </w:r>
      <w:r w:rsidRPr="00AF77B7">
        <w:rPr>
          <w:rFonts w:ascii="Times New Roman" w:hAnsi="Times New Roman" w:cs="Times New Roman"/>
          <w:bCs/>
        </w:rPr>
        <w:t>)</w:t>
      </w:r>
      <w:r w:rsidRPr="00AF77B7">
        <w:rPr>
          <w:rStyle w:val="DipnotBavurusu"/>
          <w:rFonts w:ascii="Times New Roman" w:hAnsi="Times New Roman" w:cs="Times New Roman"/>
          <w:bCs/>
        </w:rPr>
        <w:footnoteReference w:id="7"/>
      </w:r>
      <w:r w:rsidRPr="00AF77B7">
        <w:rPr>
          <w:rFonts w:ascii="Times New Roman" w:hAnsi="Times New Roman" w:cs="Times New Roman"/>
          <w:bCs/>
        </w:rPr>
        <w:t xml:space="preserve"> is also considered as a kind of necessary knowledge, for like the other two kinds there occurs no doubt in its existing. </w:t>
      </w:r>
    </w:p>
    <w:p w:rsidR="00FC493E" w:rsidRPr="00AF77B7" w:rsidRDefault="00FC493E" w:rsidP="00FC493E">
      <w:pPr>
        <w:tabs>
          <w:tab w:val="left" w:pos="8681"/>
        </w:tabs>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ab/>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Some mutakallimun define knowledge as the conviction that something is according to its real state (</w:t>
      </w:r>
      <w:r w:rsidRPr="00AF77B7">
        <w:rPr>
          <w:rFonts w:ascii="Times New Roman" w:hAnsi="Times New Roman" w:cs="Times New Roman"/>
          <w:bCs/>
          <w:i/>
        </w:rPr>
        <w:t>i'tiqad al-shay' 'alā mā huwa bihī/'alayhi</w:t>
      </w:r>
      <w:r w:rsidRPr="00AF77B7">
        <w:rPr>
          <w:rFonts w:ascii="Times New Roman" w:hAnsi="Times New Roman" w:cs="Times New Roman"/>
          <w:bCs/>
        </w:rPr>
        <w:t xml:space="preserve">). This conviction means certainty and absence of doubt; hence it is well rooted in one's mind so that one cannot repudiate it. In order to </w:t>
      </w:r>
      <w:r w:rsidRPr="00AF77B7">
        <w:rPr>
          <w:rFonts w:ascii="Times New Roman" w:hAnsi="Times New Roman" w:cs="Times New Roman"/>
          <w:bCs/>
        </w:rPr>
        <w:lastRenderedPageBreak/>
        <w:t>indicate this knowledge does not imply any doubt, some theologians add new elements into this definition as in these designations:</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i/>
        </w:rPr>
      </w:pPr>
      <w:r w:rsidRPr="00AF77B7">
        <w:rPr>
          <w:rFonts w:ascii="Times New Roman" w:hAnsi="Times New Roman" w:cs="Times New Roman"/>
          <w:bCs/>
        </w:rPr>
        <w:t xml:space="preserve">Kknowledge is the conviction that something is according to its real state </w:t>
      </w:r>
      <w:r w:rsidRPr="00AF77B7">
        <w:rPr>
          <w:rFonts w:ascii="Times New Roman" w:hAnsi="Times New Roman" w:cs="Times New Roman"/>
          <w:bCs/>
          <w:i/>
        </w:rPr>
        <w:t>with a tranquility of mind.</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i/>
        </w:rPr>
        <w:t xml:space="preserve">(i'tiqad al-shay' 'alā mā huwa bihī ma‘a sukūni’n-nefsi ilayhi) (Abū Hāşim)      </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i/>
        </w:rPr>
      </w:pP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Pr>
          <w:rFonts w:ascii="Times New Roman" w:hAnsi="Times New Roman" w:cs="Times New Roman"/>
          <w:bCs/>
        </w:rPr>
        <w:t>K</w:t>
      </w:r>
      <w:r w:rsidRPr="00AF77B7">
        <w:rPr>
          <w:rFonts w:ascii="Times New Roman" w:hAnsi="Times New Roman" w:cs="Times New Roman"/>
          <w:bCs/>
        </w:rPr>
        <w:t xml:space="preserve">nowledge is the conviction that something is according to its real state </w:t>
      </w:r>
      <w:r w:rsidRPr="00AF77B7">
        <w:rPr>
          <w:rFonts w:ascii="Times New Roman" w:hAnsi="Times New Roman" w:cs="Times New Roman"/>
          <w:bCs/>
          <w:i/>
        </w:rPr>
        <w:t>necessarily or with proof.</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i/>
        </w:rPr>
      </w:pPr>
      <w:r w:rsidRPr="00AF77B7">
        <w:rPr>
          <w:rFonts w:ascii="Times New Roman" w:hAnsi="Times New Roman" w:cs="Times New Roman"/>
          <w:bCs/>
          <w:i/>
        </w:rPr>
        <w:t xml:space="preserve"> (i'tiqad al-shay' 'alā mā huwa bihī </w:t>
      </w:r>
      <w:r>
        <w:rPr>
          <w:rFonts w:ascii="Times New Roman" w:hAnsi="Times New Roman" w:cs="Times New Roman"/>
          <w:bCs/>
          <w:i/>
        </w:rPr>
        <w:t>ḍ</w:t>
      </w:r>
      <w:r w:rsidRPr="00AF77B7">
        <w:rPr>
          <w:rFonts w:ascii="Times New Roman" w:hAnsi="Times New Roman" w:cs="Times New Roman"/>
          <w:bCs/>
          <w:i/>
        </w:rPr>
        <w:t>arūratan aw dalīlan) (Al-Jubbāī)</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i/>
        </w:rPr>
        <w:t xml:space="preserve">       </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A hatidh/tradition based on the authority of one person (</w:t>
      </w:r>
      <w:r w:rsidRPr="00AF77B7">
        <w:rPr>
          <w:rFonts w:ascii="Times New Roman" w:hAnsi="Times New Roman" w:cs="Times New Roman"/>
          <w:bCs/>
          <w:i/>
        </w:rPr>
        <w:t>khabar al-wā</w:t>
      </w:r>
      <w:r>
        <w:rPr>
          <w:rFonts w:ascii="Times New Roman" w:hAnsi="Times New Roman" w:cs="Times New Roman"/>
          <w:bCs/>
          <w:i/>
        </w:rPr>
        <w:t>ḥ</w:t>
      </w:r>
      <w:r w:rsidRPr="00AF77B7">
        <w:rPr>
          <w:rFonts w:ascii="Times New Roman" w:hAnsi="Times New Roman" w:cs="Times New Roman"/>
          <w:bCs/>
          <w:i/>
        </w:rPr>
        <w:t>id</w:t>
      </w:r>
      <w:r w:rsidRPr="00AF77B7">
        <w:rPr>
          <w:rFonts w:ascii="Times New Roman" w:hAnsi="Times New Roman" w:cs="Times New Roman"/>
          <w:bCs/>
        </w:rPr>
        <w:t xml:space="preserve">) is not considered a reliable source of knowledge in </w:t>
      </w:r>
      <w:r>
        <w:rPr>
          <w:rFonts w:ascii="Times New Roman" w:hAnsi="Times New Roman" w:cs="Times New Roman"/>
          <w:bCs/>
        </w:rPr>
        <w:t>Kalām</w:t>
      </w:r>
      <w:r w:rsidRPr="00AF77B7">
        <w:rPr>
          <w:rFonts w:ascii="Times New Roman" w:hAnsi="Times New Roman" w:cs="Times New Roman"/>
          <w:bCs/>
        </w:rPr>
        <w:t xml:space="preserve"> in establishing creedal articles, but is thought to have only a moral value. </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
          <w:bCs/>
        </w:rPr>
      </w:pPr>
      <w:r w:rsidRPr="00AF77B7">
        <w:rPr>
          <w:rFonts w:ascii="Times New Roman" w:hAnsi="Times New Roman" w:cs="Times New Roman"/>
          <w:b/>
          <w:bCs/>
        </w:rPr>
        <w:t>Theological implications of Necessary Knowledge</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Besides its being a proof on its own merit, necessary knowledge (</w:t>
      </w:r>
      <w:r w:rsidRPr="00AF77B7">
        <w:rPr>
          <w:rFonts w:ascii="Times New Roman" w:hAnsi="Times New Roman" w:cs="Times New Roman"/>
          <w:bCs/>
          <w:i/>
        </w:rPr>
        <w:t xml:space="preserve">‘ilm </w:t>
      </w:r>
      <w:r>
        <w:rPr>
          <w:rFonts w:ascii="Times New Roman" w:hAnsi="Times New Roman" w:cs="Times New Roman"/>
          <w:bCs/>
          <w:i/>
        </w:rPr>
        <w:t>ḍ</w:t>
      </w:r>
      <w:r w:rsidRPr="00AF77B7">
        <w:rPr>
          <w:rFonts w:ascii="Times New Roman" w:hAnsi="Times New Roman" w:cs="Times New Roman"/>
          <w:bCs/>
          <w:i/>
        </w:rPr>
        <w:t>arūrī</w:t>
      </w:r>
      <w:r w:rsidRPr="00AF77B7">
        <w:rPr>
          <w:rFonts w:ascii="Times New Roman" w:hAnsi="Times New Roman" w:cs="Times New Roman"/>
          <w:bCs/>
        </w:rPr>
        <w:t xml:space="preserve">)  is used as a basis of theological arguments. Knowledge in the capacity of proof occurs in basic issues of </w:t>
      </w:r>
      <w:r>
        <w:rPr>
          <w:rFonts w:ascii="Times New Roman" w:hAnsi="Times New Roman" w:cs="Times New Roman"/>
          <w:bCs/>
        </w:rPr>
        <w:t>Kalām</w:t>
      </w:r>
      <w:r w:rsidRPr="00AF77B7">
        <w:rPr>
          <w:rFonts w:ascii="Times New Roman" w:hAnsi="Times New Roman" w:cs="Times New Roman"/>
          <w:bCs/>
        </w:rPr>
        <w:t xml:space="preserve">. The examples below are representative of the wide use of necessary knowledge as proof in </w:t>
      </w:r>
      <w:r>
        <w:rPr>
          <w:rFonts w:ascii="Times New Roman" w:hAnsi="Times New Roman" w:cs="Times New Roman"/>
          <w:bCs/>
        </w:rPr>
        <w:t>Kalām</w:t>
      </w:r>
      <w:r w:rsidRPr="00AF77B7">
        <w:rPr>
          <w:rFonts w:ascii="Times New Roman" w:hAnsi="Times New Roman" w:cs="Times New Roman"/>
          <w:bCs/>
        </w:rPr>
        <w:t>. These examples deal with God, the world, man, and with the relationships between God and man and between God and the world.</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
          <w:lang w:val="tr-TR"/>
        </w:rPr>
      </w:pPr>
      <w:r w:rsidRPr="00AF77B7">
        <w:rPr>
          <w:rFonts w:ascii="Times New Roman" w:hAnsi="Times New Roman" w:cs="Times New Roman"/>
          <w:b/>
          <w:lang w:val="tr-TR"/>
        </w:rPr>
        <w:t>Man’s knowledge of God as an evidence for the existence of God</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lang w:val="tr-TR"/>
        </w:rPr>
      </w:pPr>
      <w:r w:rsidRPr="00AF77B7">
        <w:rPr>
          <w:rFonts w:ascii="Times New Roman" w:hAnsi="Times New Roman" w:cs="Times New Roman"/>
          <w:lang w:val="tr-TR"/>
        </w:rPr>
        <w:t xml:space="preserve">Man’s knowledge of God is based on </w:t>
      </w:r>
      <w:r w:rsidRPr="00AF77B7">
        <w:rPr>
          <w:rFonts w:ascii="Times New Roman" w:hAnsi="Times New Roman" w:cs="Times New Roman"/>
          <w:i/>
          <w:lang w:val="tr-TR"/>
        </w:rPr>
        <w:t>fi</w:t>
      </w:r>
      <w:r>
        <w:rPr>
          <w:rFonts w:ascii="Times New Roman" w:hAnsi="Times New Roman" w:cs="Times New Roman"/>
          <w:i/>
          <w:lang w:val="tr-TR"/>
        </w:rPr>
        <w:t>ṭ</w:t>
      </w:r>
      <w:r w:rsidRPr="00AF77B7">
        <w:rPr>
          <w:rFonts w:ascii="Times New Roman" w:hAnsi="Times New Roman" w:cs="Times New Roman"/>
          <w:i/>
          <w:lang w:val="tr-TR"/>
        </w:rPr>
        <w:t xml:space="preserve">ra </w:t>
      </w:r>
      <w:r w:rsidRPr="00AF77B7">
        <w:rPr>
          <w:rFonts w:ascii="Times New Roman" w:hAnsi="Times New Roman" w:cs="Times New Roman"/>
          <w:lang w:val="tr-TR"/>
        </w:rPr>
        <w:t xml:space="preserve">or a priori knowledge. So many issues such as anthropomorphism or God’s knowledge of the particulars can clearly be undedstood through this a priori knowledge. As for the second issue Fakhraddīn al-Razī is reasoning as follows: </w:t>
      </w:r>
    </w:p>
    <w:p w:rsidR="00FC493E" w:rsidRPr="00AF77B7" w:rsidRDefault="00FC493E" w:rsidP="00FC493E">
      <w:pPr>
        <w:autoSpaceDE w:val="0"/>
        <w:autoSpaceDN w:val="0"/>
        <w:adjustRightInd w:val="0"/>
        <w:spacing w:after="0" w:line="240" w:lineRule="auto"/>
        <w:ind w:left="1440" w:right="334"/>
        <w:jc w:val="both"/>
        <w:rPr>
          <w:rFonts w:ascii="Times New Roman" w:hAnsi="Times New Roman" w:cs="Times New Roman"/>
          <w:bCs/>
          <w:i/>
        </w:rPr>
      </w:pPr>
      <w:r w:rsidRPr="00AF77B7">
        <w:rPr>
          <w:rFonts w:ascii="Times New Roman" w:hAnsi="Times New Roman" w:cs="Times New Roman"/>
          <w:bCs/>
          <w:i/>
        </w:rPr>
        <w:t>'We observe that if the people of this world, the righteous and the wicked (zindīq), the Muslim and the unbeliever (mul</w:t>
      </w:r>
      <w:r>
        <w:rPr>
          <w:rFonts w:ascii="Times New Roman" w:hAnsi="Times New Roman" w:cs="Times New Roman"/>
          <w:bCs/>
          <w:i/>
        </w:rPr>
        <w:t>ḥ</w:t>
      </w:r>
      <w:r w:rsidRPr="00AF77B7">
        <w:rPr>
          <w:rFonts w:ascii="Times New Roman" w:hAnsi="Times New Roman" w:cs="Times New Roman"/>
          <w:bCs/>
          <w:i/>
        </w:rPr>
        <w:t>id), are afflicted by suffering they demand God for mercy and ask Him to save them from this suffering even if they are the most extreme deniers of His knowing of the particulars. If this happens to someone, he will necessarily set about praying, beseeching mercy from God and submitting to Him. This proves that the basic disposition (al-fi</w:t>
      </w:r>
      <w:r>
        <w:rPr>
          <w:rFonts w:ascii="Times New Roman" w:hAnsi="Times New Roman" w:cs="Times New Roman"/>
          <w:bCs/>
          <w:i/>
        </w:rPr>
        <w:t>ṭ</w:t>
      </w:r>
      <w:r w:rsidRPr="00AF77B7">
        <w:rPr>
          <w:rFonts w:ascii="Times New Roman" w:hAnsi="Times New Roman" w:cs="Times New Roman"/>
          <w:bCs/>
          <w:i/>
        </w:rPr>
        <w:t>ra al-asliyya) attests that the Lord of the world has power over the things and knows the secret and the hidden things. It is known that the testimony of the fi</w:t>
      </w:r>
      <w:r>
        <w:rPr>
          <w:rFonts w:ascii="Times New Roman" w:hAnsi="Times New Roman" w:cs="Times New Roman"/>
          <w:bCs/>
          <w:i/>
        </w:rPr>
        <w:t>ṭ</w:t>
      </w:r>
      <w:r w:rsidRPr="00AF77B7">
        <w:rPr>
          <w:rFonts w:ascii="Times New Roman" w:hAnsi="Times New Roman" w:cs="Times New Roman"/>
          <w:bCs/>
          <w:i/>
        </w:rPr>
        <w:t>ra is more acceptable than these hidden disjunctions (taqsīmāt khafiyya) and obscure proofs, which are to be sought for, and therefore one must definitely assert that the Lord of the world knows the particulars and is capable of supplying [man's] needs.’</w:t>
      </w:r>
      <w:r w:rsidRPr="00AF77B7">
        <w:rPr>
          <w:rStyle w:val="DipnotBavurusu"/>
          <w:rFonts w:ascii="Times New Roman" w:hAnsi="Times New Roman" w:cs="Times New Roman"/>
          <w:bCs/>
          <w:i/>
        </w:rPr>
        <w:footnoteReference w:id="8"/>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 xml:space="preserve">Three important points are stated here by Rāzī: </w:t>
      </w:r>
      <w:r w:rsidRPr="00AF77B7">
        <w:rPr>
          <w:rFonts w:ascii="Times New Roman" w:hAnsi="Times New Roman" w:cs="Times New Roman"/>
          <w:b/>
          <w:bCs/>
        </w:rPr>
        <w:t>a</w:t>
      </w:r>
      <w:r w:rsidRPr="00AF77B7">
        <w:rPr>
          <w:rFonts w:ascii="Times New Roman" w:hAnsi="Times New Roman" w:cs="Times New Roman"/>
          <w:bCs/>
        </w:rPr>
        <w:t xml:space="preserve">. an act of all the people serves as proof of its truthfulness: </w:t>
      </w:r>
      <w:r w:rsidRPr="00AF77B7">
        <w:rPr>
          <w:rFonts w:ascii="Times New Roman" w:hAnsi="Times New Roman" w:cs="Times New Roman"/>
          <w:b/>
          <w:bCs/>
        </w:rPr>
        <w:t>b</w:t>
      </w:r>
      <w:r w:rsidRPr="00AF77B7">
        <w:rPr>
          <w:rFonts w:ascii="Times New Roman" w:hAnsi="Times New Roman" w:cs="Times New Roman"/>
          <w:bCs/>
        </w:rPr>
        <w:t xml:space="preserve">. the fact that many people behave in the same way shows that their behavior goes back to their primordial nature which can be identified as producing necessary knowledge; </w:t>
      </w:r>
      <w:r w:rsidRPr="00AF77B7">
        <w:rPr>
          <w:rFonts w:ascii="Times New Roman" w:hAnsi="Times New Roman" w:cs="Times New Roman"/>
          <w:b/>
          <w:bCs/>
        </w:rPr>
        <w:t>c</w:t>
      </w:r>
      <w:r w:rsidRPr="00AF77B7">
        <w:rPr>
          <w:rFonts w:ascii="Times New Roman" w:hAnsi="Times New Roman" w:cs="Times New Roman"/>
          <w:bCs/>
        </w:rPr>
        <w:t xml:space="preserve">. knowledge obtained through </w:t>
      </w:r>
      <w:r w:rsidRPr="00AF77B7">
        <w:rPr>
          <w:rFonts w:ascii="Times New Roman" w:hAnsi="Times New Roman" w:cs="Times New Roman"/>
          <w:bCs/>
          <w:i/>
        </w:rPr>
        <w:t>fitra</w:t>
      </w:r>
      <w:r w:rsidRPr="00AF77B7">
        <w:rPr>
          <w:rFonts w:ascii="Times New Roman" w:hAnsi="Times New Roman" w:cs="Times New Roman"/>
          <w:bCs/>
        </w:rPr>
        <w:t xml:space="preserve"> is preferable to knowledge obtained through speculative arguments.</w:t>
      </w:r>
      <w:r w:rsidRPr="00AF77B7">
        <w:rPr>
          <w:rStyle w:val="DipnotBavurusu"/>
          <w:rFonts w:ascii="Times New Roman" w:hAnsi="Times New Roman" w:cs="Times New Roman"/>
          <w:bCs/>
        </w:rPr>
        <w:footnoteReference w:id="9"/>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Concerning the world and its structure, necessary knowledge is again used as a proof. The knowledge that things are created and directed (</w:t>
      </w:r>
      <w:r w:rsidRPr="00AF77B7">
        <w:rPr>
          <w:rFonts w:ascii="Times New Roman" w:hAnsi="Times New Roman" w:cs="Times New Roman"/>
          <w:bCs/>
          <w:i/>
        </w:rPr>
        <w:t>mu</w:t>
      </w:r>
      <w:r>
        <w:rPr>
          <w:rFonts w:ascii="Times New Roman" w:hAnsi="Times New Roman" w:cs="Times New Roman"/>
          <w:bCs/>
          <w:i/>
        </w:rPr>
        <w:t>ḥ</w:t>
      </w:r>
      <w:r w:rsidRPr="00AF77B7">
        <w:rPr>
          <w:rFonts w:ascii="Times New Roman" w:hAnsi="Times New Roman" w:cs="Times New Roman"/>
          <w:bCs/>
          <w:i/>
        </w:rPr>
        <w:t>datha, mudabbara</w:t>
      </w:r>
      <w:r w:rsidRPr="00AF77B7">
        <w:rPr>
          <w:rFonts w:ascii="Times New Roman" w:hAnsi="Times New Roman" w:cs="Times New Roman"/>
          <w:bCs/>
        </w:rPr>
        <w:t xml:space="preserve">) is necessary knowledge. It is claimed that one's perception - one sees that all things are made and directed- is by </w:t>
      </w:r>
      <w:r w:rsidRPr="00AF77B7">
        <w:rPr>
          <w:rFonts w:ascii="Times New Roman" w:hAnsi="Times New Roman" w:cs="Times New Roman"/>
          <w:bCs/>
          <w:i/>
        </w:rPr>
        <w:t>fi</w:t>
      </w:r>
      <w:r>
        <w:rPr>
          <w:rFonts w:ascii="Times New Roman" w:hAnsi="Times New Roman" w:cs="Times New Roman"/>
          <w:bCs/>
          <w:i/>
        </w:rPr>
        <w:t>ṭ</w:t>
      </w:r>
      <w:r w:rsidRPr="00AF77B7">
        <w:rPr>
          <w:rFonts w:ascii="Times New Roman" w:hAnsi="Times New Roman" w:cs="Times New Roman"/>
          <w:bCs/>
          <w:i/>
        </w:rPr>
        <w:t>ra</w:t>
      </w:r>
      <w:r w:rsidRPr="00AF77B7">
        <w:rPr>
          <w:rFonts w:ascii="Times New Roman" w:hAnsi="Times New Roman" w:cs="Times New Roman"/>
          <w:bCs/>
        </w:rPr>
        <w:t>. Ab</w:t>
      </w:r>
      <w:r>
        <w:rPr>
          <w:rFonts w:ascii="Times New Roman" w:hAnsi="Times New Roman" w:cs="Times New Roman"/>
          <w:bCs/>
        </w:rPr>
        <w:t>ū</w:t>
      </w:r>
      <w:r w:rsidRPr="00AF77B7">
        <w:rPr>
          <w:rFonts w:ascii="Times New Roman" w:hAnsi="Times New Roman" w:cs="Times New Roman"/>
          <w:bCs/>
        </w:rPr>
        <w:t xml:space="preserve"> ‘Alī al-Jubb</w:t>
      </w:r>
      <w:r>
        <w:rPr>
          <w:rFonts w:ascii="Times New Roman" w:hAnsi="Times New Roman" w:cs="Times New Roman"/>
          <w:bCs/>
        </w:rPr>
        <w:t>ā</w:t>
      </w:r>
      <w:r w:rsidRPr="00AF77B7">
        <w:rPr>
          <w:rFonts w:ascii="Times New Roman" w:hAnsi="Times New Roman" w:cs="Times New Roman"/>
          <w:bCs/>
        </w:rPr>
        <w:t>’ī (d. 912 C.E.) holds that the modes of being, immobility, movement, combination, separation and composition, are perceived by seeing, i.e. necessarily. According to al-Razi, the knowledge of the existence of time is direct (</w:t>
      </w:r>
      <w:r w:rsidRPr="00AF77B7">
        <w:rPr>
          <w:rFonts w:ascii="Times New Roman" w:hAnsi="Times New Roman" w:cs="Times New Roman"/>
          <w:bCs/>
          <w:i/>
        </w:rPr>
        <w:t>badīhī</w:t>
      </w:r>
      <w:r w:rsidRPr="00AF77B7">
        <w:rPr>
          <w:rFonts w:ascii="Times New Roman" w:hAnsi="Times New Roman" w:cs="Times New Roman"/>
          <w:bCs/>
        </w:rPr>
        <w:t>), that is, does not require proof (Matālib, vol. V, p.21 f).</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lastRenderedPageBreak/>
        <w:t>The notion of God's imposing unattainable duties (</w:t>
      </w:r>
      <w:r w:rsidRPr="00AF77B7">
        <w:rPr>
          <w:rFonts w:ascii="Times New Roman" w:hAnsi="Times New Roman" w:cs="Times New Roman"/>
          <w:bCs/>
          <w:i/>
        </w:rPr>
        <w:t>taklīf mā lā yutāqu</w:t>
      </w:r>
      <w:r w:rsidRPr="00AF77B7">
        <w:rPr>
          <w:rFonts w:ascii="Times New Roman" w:hAnsi="Times New Roman" w:cs="Times New Roman"/>
          <w:bCs/>
        </w:rPr>
        <w:t>) is also known through necessary knowledge derived from man's experience; every intelligent man knows through his completeness of intuition that it is evil to impose on the paralyzed, for example, the duty to walk.</w:t>
      </w:r>
    </w:p>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bCs/>
        </w:rPr>
      </w:pPr>
    </w:p>
    <w:p w:rsidR="00FC493E" w:rsidRPr="00AF77B7" w:rsidRDefault="00FC493E" w:rsidP="00FC493E">
      <w:pPr>
        <w:ind w:left="567" w:right="334"/>
        <w:rPr>
          <w:rFonts w:ascii="Times New Roman" w:hAnsi="Times New Roman" w:cs="Times New Roman"/>
          <w:b/>
        </w:rPr>
      </w:pPr>
      <w:r w:rsidRPr="00AF77B7">
        <w:rPr>
          <w:rFonts w:ascii="Times New Roman" w:hAnsi="Times New Roman" w:cs="Times New Roman"/>
          <w:b/>
        </w:rPr>
        <w:t>Knowledge and Faith</w:t>
      </w:r>
    </w:p>
    <w:p w:rsidR="00FC493E" w:rsidRPr="00AF77B7" w:rsidRDefault="00FC493E" w:rsidP="00FC493E">
      <w:pPr>
        <w:ind w:left="567" w:right="334"/>
        <w:jc w:val="both"/>
        <w:rPr>
          <w:rFonts w:ascii="Times New Roman" w:hAnsi="Times New Roman" w:cs="Times New Roman"/>
        </w:rPr>
      </w:pPr>
      <w:r w:rsidRPr="00AF77B7">
        <w:rPr>
          <w:rFonts w:ascii="Times New Roman" w:hAnsi="Times New Roman" w:cs="Times New Roman"/>
        </w:rPr>
        <w:t xml:space="preserve">Muslim theologians claim that all axioms and assumptions employed are validated on rational grounds, insisting that premises authenticated in religious belief have been formally and systematically excluded from any prior acceptance as epistemic axioms. With these axioms the theory of knowledge ensures the cognitive value of religious belief. It can easily be claimed that </w:t>
      </w:r>
      <w:r>
        <w:rPr>
          <w:rFonts w:ascii="Times New Roman" w:hAnsi="Times New Roman" w:cs="Times New Roman"/>
        </w:rPr>
        <w:t>kalām</w:t>
      </w:r>
      <w:r w:rsidRPr="00AF77B7">
        <w:rPr>
          <w:rFonts w:ascii="Times New Roman" w:hAnsi="Times New Roman" w:cs="Times New Roman"/>
        </w:rPr>
        <w:t xml:space="preserve"> rests on no axiom or presupposition that is accepted as true on the sole basis of religious belief; so it deserves to be called as “the rational science”. This is because a key verse from the Holy Qur’an signifies the belief in God as something cognitive: “</w:t>
      </w:r>
      <w:r w:rsidRPr="00AF77B7">
        <w:rPr>
          <w:rFonts w:ascii="Times New Roman" w:hAnsi="Times New Roman" w:cs="Times New Roman"/>
          <w:b/>
          <w:i/>
        </w:rPr>
        <w:t>know</w:t>
      </w:r>
      <w:r w:rsidRPr="00AF77B7">
        <w:rPr>
          <w:rFonts w:ascii="Times New Roman" w:hAnsi="Times New Roman" w:cs="Times New Roman"/>
          <w:i/>
        </w:rPr>
        <w:t xml:space="preserve"> </w:t>
      </w:r>
      <w:r w:rsidRPr="00AF77B7">
        <w:rPr>
          <w:rFonts w:ascii="Times New Roman" w:hAnsi="Times New Roman" w:cs="Times New Roman"/>
        </w:rPr>
        <w:t>that there is no god but Allah” (</w:t>
      </w:r>
      <w:r>
        <w:rPr>
          <w:rFonts w:ascii="Times New Roman" w:hAnsi="Times New Roman" w:cs="Times New Roman"/>
        </w:rPr>
        <w:t>Muḥammad</w:t>
      </w:r>
      <w:r w:rsidRPr="00AF77B7">
        <w:rPr>
          <w:rFonts w:ascii="Times New Roman" w:hAnsi="Times New Roman" w:cs="Times New Roman"/>
        </w:rPr>
        <w:t xml:space="preserve"> 47.19). </w:t>
      </w:r>
    </w:p>
    <w:p w:rsidR="00FC493E" w:rsidRPr="00AF77B7" w:rsidRDefault="00FC493E" w:rsidP="00FC493E">
      <w:pPr>
        <w:ind w:left="567" w:right="334"/>
        <w:jc w:val="both"/>
        <w:rPr>
          <w:rFonts w:ascii="Times New Roman" w:hAnsi="Times New Roman" w:cs="Times New Roman"/>
        </w:rPr>
      </w:pPr>
      <w:r w:rsidRPr="00AF77B7">
        <w:rPr>
          <w:rFonts w:ascii="Times New Roman" w:hAnsi="Times New Roman" w:cs="Times New Roman"/>
        </w:rPr>
        <w:t xml:space="preserve">For most of the </w:t>
      </w:r>
      <w:r w:rsidRPr="00AF77B7">
        <w:rPr>
          <w:rFonts w:ascii="Times New Roman" w:hAnsi="Times New Roman" w:cs="Times New Roman"/>
          <w:i/>
        </w:rPr>
        <w:t>mutakallimūn</w:t>
      </w:r>
      <w:r w:rsidRPr="00AF77B7">
        <w:rPr>
          <w:rFonts w:ascii="Times New Roman" w:hAnsi="Times New Roman" w:cs="Times New Roman"/>
        </w:rPr>
        <w:t>, reasoning (</w:t>
      </w:r>
      <w:r w:rsidRPr="00AF77B7">
        <w:rPr>
          <w:rFonts w:ascii="Times New Roman" w:hAnsi="Times New Roman" w:cs="Times New Roman"/>
          <w:i/>
        </w:rPr>
        <w:t>al-na</w:t>
      </w:r>
      <w:r>
        <w:rPr>
          <w:rFonts w:ascii="Times New Roman" w:hAnsi="Times New Roman" w:cs="Times New Roman"/>
          <w:i/>
        </w:rPr>
        <w:t>ẓ</w:t>
      </w:r>
      <w:r w:rsidRPr="00AF77B7">
        <w:rPr>
          <w:rFonts w:ascii="Times New Roman" w:hAnsi="Times New Roman" w:cs="Times New Roman"/>
          <w:i/>
        </w:rPr>
        <w:t>ar wal-istidlāl</w:t>
      </w:r>
      <w:r w:rsidRPr="00AF77B7">
        <w:rPr>
          <w:rFonts w:ascii="Times New Roman" w:hAnsi="Times New Roman" w:cs="Times New Roman"/>
        </w:rPr>
        <w:t xml:space="preserve">) precedes being a believer as its foundation and condition. That means there is direct relationship between knowledge and belief. So </w:t>
      </w:r>
      <w:r>
        <w:rPr>
          <w:rFonts w:ascii="Times New Roman" w:hAnsi="Times New Roman" w:cs="Times New Roman"/>
        </w:rPr>
        <w:t>kalām</w:t>
      </w:r>
      <w:r w:rsidRPr="00AF77B7">
        <w:rPr>
          <w:rFonts w:ascii="Times New Roman" w:hAnsi="Times New Roman" w:cs="Times New Roman"/>
        </w:rPr>
        <w:t xml:space="preserve"> asserts that religious belief (al-īman) consists in assent (al-ta</w:t>
      </w:r>
      <w:r>
        <w:rPr>
          <w:rFonts w:ascii="Times New Roman" w:hAnsi="Times New Roman" w:cs="Times New Roman"/>
        </w:rPr>
        <w:t>ṣ</w:t>
      </w:r>
      <w:r w:rsidRPr="00AF77B7">
        <w:rPr>
          <w:rFonts w:ascii="Times New Roman" w:hAnsi="Times New Roman" w:cs="Times New Roman"/>
        </w:rPr>
        <w:t xml:space="preserve">dīq), and this assent, in order to be valid, should to be based on sound rational inference. All primary doctrines are held to be rationally demonstrable on the basis of universally acceptable assumptions. The Qur’anic verses which underline that the Holy Qur’an is revealed on truth ( </w:t>
      </w:r>
      <w:r>
        <w:rPr>
          <w:rFonts w:ascii="Times New Roman" w:hAnsi="Times New Roman" w:cs="Times New Roman"/>
        </w:rPr>
        <w:t>Ā</w:t>
      </w:r>
      <w:r w:rsidRPr="00AF77B7">
        <w:rPr>
          <w:rFonts w:ascii="Times New Roman" w:hAnsi="Times New Roman" w:cs="Times New Roman"/>
        </w:rPr>
        <w:t xml:space="preserve">l-i </w:t>
      </w:r>
      <w:r>
        <w:rPr>
          <w:rFonts w:ascii="Times New Roman" w:hAnsi="Times New Roman" w:cs="Times New Roman"/>
        </w:rPr>
        <w:t>‘</w:t>
      </w:r>
      <w:r w:rsidRPr="00AF77B7">
        <w:rPr>
          <w:rFonts w:ascii="Times New Roman" w:hAnsi="Times New Roman" w:cs="Times New Roman"/>
        </w:rPr>
        <w:t xml:space="preserve">İmrān 3.3) and God proves the truth by His words (Shūrā 42.24) require believers to base their belief on a rational ground. </w:t>
      </w:r>
    </w:p>
    <w:p w:rsidR="00747F29" w:rsidRDefault="00747F29"/>
    <w:sectPr w:rsidR="00747F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1F" w:rsidRDefault="0080761F" w:rsidP="00FC493E">
      <w:pPr>
        <w:spacing w:after="0" w:line="240" w:lineRule="auto"/>
      </w:pPr>
      <w:r>
        <w:separator/>
      </w:r>
    </w:p>
  </w:endnote>
  <w:endnote w:type="continuationSeparator" w:id="0">
    <w:p w:rsidR="0080761F" w:rsidRDefault="0080761F" w:rsidP="00FC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1F" w:rsidRDefault="0080761F" w:rsidP="00FC493E">
      <w:pPr>
        <w:spacing w:after="0" w:line="240" w:lineRule="auto"/>
      </w:pPr>
      <w:r>
        <w:separator/>
      </w:r>
    </w:p>
  </w:footnote>
  <w:footnote w:type="continuationSeparator" w:id="0">
    <w:p w:rsidR="0080761F" w:rsidRDefault="0080761F" w:rsidP="00FC493E">
      <w:pPr>
        <w:spacing w:after="0" w:line="240" w:lineRule="auto"/>
      </w:pPr>
      <w:r>
        <w:continuationSeparator/>
      </w:r>
    </w:p>
  </w:footnote>
  <w:footnote w:id="1">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sz w:val="20"/>
          <w:szCs w:val="20"/>
          <w:lang w:val="tr-TR"/>
        </w:rPr>
      </w:pPr>
      <w:r w:rsidRPr="00AF77B7">
        <w:rPr>
          <w:rStyle w:val="DipnotBavurusu"/>
          <w:rFonts w:ascii="Times New Roman" w:hAnsi="Times New Roman" w:cs="Times New Roman"/>
          <w:sz w:val="20"/>
          <w:szCs w:val="20"/>
        </w:rPr>
        <w:footnoteRef/>
      </w:r>
      <w:r w:rsidRPr="00AF77B7">
        <w:rPr>
          <w:rFonts w:ascii="Times New Roman" w:hAnsi="Times New Roman" w:cs="Times New Roman"/>
          <w:sz w:val="20"/>
          <w:szCs w:val="20"/>
        </w:rPr>
        <w:t xml:space="preserve"> </w:t>
      </w:r>
      <w:r w:rsidRPr="00AF77B7">
        <w:rPr>
          <w:rFonts w:ascii="Times New Roman" w:hAnsi="Times New Roman" w:cs="Times New Roman"/>
          <w:bCs/>
          <w:sz w:val="20"/>
          <w:szCs w:val="20"/>
        </w:rPr>
        <w:t>Houran</w:t>
      </w:r>
      <w:r>
        <w:rPr>
          <w:rFonts w:ascii="Times New Roman" w:hAnsi="Times New Roman" w:cs="Times New Roman"/>
          <w:bCs/>
          <w:sz w:val="20"/>
          <w:szCs w:val="20"/>
        </w:rPr>
        <w:t>i</w:t>
      </w:r>
      <w:r w:rsidRPr="00AF77B7">
        <w:rPr>
          <w:rFonts w:ascii="Times New Roman" w:hAnsi="Times New Roman" w:cs="Times New Roman"/>
          <w:bCs/>
          <w:sz w:val="20"/>
          <w:szCs w:val="20"/>
        </w:rPr>
        <w:t>, who, referring to ‘Abd al-Jabb</w:t>
      </w:r>
      <w:r>
        <w:rPr>
          <w:rFonts w:ascii="Times New Roman" w:hAnsi="Times New Roman" w:cs="Times New Roman"/>
          <w:bCs/>
          <w:sz w:val="20"/>
          <w:szCs w:val="20"/>
        </w:rPr>
        <w:t>ā</w:t>
      </w:r>
      <w:r w:rsidRPr="00AF77B7">
        <w:rPr>
          <w:rFonts w:ascii="Times New Roman" w:hAnsi="Times New Roman" w:cs="Times New Roman"/>
          <w:bCs/>
          <w:sz w:val="20"/>
          <w:szCs w:val="20"/>
        </w:rPr>
        <w:t xml:space="preserve">r, prefers to translate 'ilm </w:t>
      </w:r>
      <w:r>
        <w:rPr>
          <w:rFonts w:ascii="Times New Roman" w:hAnsi="Times New Roman" w:cs="Times New Roman"/>
          <w:bCs/>
          <w:sz w:val="20"/>
          <w:szCs w:val="20"/>
        </w:rPr>
        <w:t>ḍ</w:t>
      </w:r>
      <w:r w:rsidRPr="00AF77B7">
        <w:rPr>
          <w:rFonts w:ascii="Times New Roman" w:hAnsi="Times New Roman" w:cs="Times New Roman"/>
          <w:bCs/>
          <w:sz w:val="20"/>
          <w:szCs w:val="20"/>
        </w:rPr>
        <w:t>ar</w:t>
      </w:r>
      <w:r>
        <w:rPr>
          <w:rFonts w:ascii="Times New Roman" w:hAnsi="Times New Roman" w:cs="Times New Roman"/>
          <w:bCs/>
          <w:sz w:val="20"/>
          <w:szCs w:val="20"/>
        </w:rPr>
        <w:t>ū</w:t>
      </w:r>
      <w:r w:rsidRPr="00AF77B7">
        <w:rPr>
          <w:rFonts w:ascii="Times New Roman" w:hAnsi="Times New Roman" w:cs="Times New Roman"/>
          <w:bCs/>
          <w:sz w:val="20"/>
          <w:szCs w:val="20"/>
        </w:rPr>
        <w:t>ra by the English 'immediate knowledge', for in philosophical English 'necessary' means 'logically implied' which is characteristic only of knowledge deriving from  discursive reasoning ('ilm muktasab). Islamic Rationalism, p.20.</w:t>
      </w:r>
    </w:p>
  </w:footnote>
  <w:footnote w:id="2">
    <w:p w:rsidR="00FC493E" w:rsidRPr="00AF77B7" w:rsidRDefault="00FC493E" w:rsidP="00FC493E">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r w:rsidRPr="00AF77B7">
        <w:rPr>
          <w:rFonts w:ascii="Times New Roman" w:hAnsi="Times New Roman" w:cs="Times New Roman"/>
          <w:bCs/>
        </w:rPr>
        <w:t>al-Bāqillānī famous Ash‘arite theologian died in 1013 C.E.</w:t>
      </w:r>
    </w:p>
  </w:footnote>
  <w:footnote w:id="3">
    <w:p w:rsidR="00FC493E" w:rsidRPr="00AF77B7" w:rsidRDefault="00FC493E" w:rsidP="00FC493E">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3323CF">
        <w:rPr>
          <w:rFonts w:ascii="Times New Roman" w:hAnsi="Times New Roman" w:cs="Times New Roman"/>
          <w:bCs/>
          <w:lang w:val="tr-TR"/>
        </w:rPr>
        <w:t xml:space="preserve"> al-Bāqillāni, Kitāb al-tamhīd, ed. </w:t>
      </w:r>
      <w:r w:rsidRPr="00AF77B7">
        <w:rPr>
          <w:rFonts w:ascii="Times New Roman" w:hAnsi="Times New Roman" w:cs="Times New Roman"/>
          <w:bCs/>
        </w:rPr>
        <w:t>R.J. McCarthy, Beirut, 1957, p.7.</w:t>
      </w:r>
    </w:p>
  </w:footnote>
  <w:footnote w:id="4">
    <w:p w:rsidR="00FC493E" w:rsidRPr="00AF77B7" w:rsidRDefault="00FC493E" w:rsidP="00FC493E">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The most important figure in Mu’tazilīte theological tradition. He died in 1025 C.E.</w:t>
      </w:r>
    </w:p>
  </w:footnote>
  <w:footnote w:id="5">
    <w:p w:rsidR="00FC493E" w:rsidRPr="00AF77B7" w:rsidRDefault="00FC493E" w:rsidP="00FC493E">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r w:rsidRPr="00AF77B7">
        <w:rPr>
          <w:rFonts w:ascii="Times New Roman" w:hAnsi="Times New Roman" w:cs="Times New Roman"/>
          <w:bCs/>
        </w:rPr>
        <w:t>'Abd al-Jabb</w:t>
      </w:r>
      <w:r>
        <w:rPr>
          <w:rFonts w:ascii="Times New Roman" w:hAnsi="Times New Roman" w:cs="Times New Roman"/>
          <w:bCs/>
        </w:rPr>
        <w:t>ā</w:t>
      </w:r>
      <w:r w:rsidRPr="00AF77B7">
        <w:rPr>
          <w:rFonts w:ascii="Times New Roman" w:hAnsi="Times New Roman" w:cs="Times New Roman"/>
          <w:bCs/>
        </w:rPr>
        <w:t>r, Mughnī, vol. XII, p.65.</w:t>
      </w:r>
    </w:p>
  </w:footnote>
  <w:footnote w:id="6">
    <w:p w:rsidR="00FC493E" w:rsidRPr="00AF77B7" w:rsidRDefault="00FC493E" w:rsidP="00FC493E">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3323CF">
        <w:rPr>
          <w:rFonts w:ascii="Times New Roman" w:hAnsi="Times New Roman" w:cs="Times New Roman"/>
          <w:lang w:val="tr-TR"/>
        </w:rPr>
        <w:t xml:space="preserve"> </w:t>
      </w:r>
      <w:r w:rsidRPr="003323CF">
        <w:rPr>
          <w:rFonts w:ascii="Times New Roman" w:hAnsi="Times New Roman" w:cs="Times New Roman"/>
          <w:bCs/>
          <w:lang w:val="tr-TR"/>
        </w:rPr>
        <w:t>'Abd al-Karīm 'Uthmān, Nazariyyāt, pp.60, 62.</w:t>
      </w:r>
    </w:p>
  </w:footnote>
  <w:footnote w:id="7">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sz w:val="20"/>
          <w:szCs w:val="20"/>
          <w:lang w:val="tr-TR"/>
        </w:rPr>
      </w:pPr>
      <w:r w:rsidRPr="00AF77B7">
        <w:rPr>
          <w:rStyle w:val="DipnotBavurusu"/>
          <w:rFonts w:ascii="Times New Roman" w:hAnsi="Times New Roman" w:cs="Times New Roman"/>
          <w:sz w:val="20"/>
          <w:szCs w:val="20"/>
        </w:rPr>
        <w:footnoteRef/>
      </w:r>
      <w:r w:rsidRPr="00AF77B7">
        <w:rPr>
          <w:rFonts w:ascii="Times New Roman" w:hAnsi="Times New Roman" w:cs="Times New Roman"/>
          <w:sz w:val="20"/>
          <w:szCs w:val="20"/>
        </w:rPr>
        <w:t xml:space="preserve"> </w:t>
      </w:r>
      <w:r w:rsidRPr="00AF77B7">
        <w:rPr>
          <w:rFonts w:ascii="Times New Roman" w:hAnsi="Times New Roman" w:cs="Times New Roman"/>
          <w:bCs/>
          <w:i/>
          <w:sz w:val="20"/>
          <w:szCs w:val="20"/>
        </w:rPr>
        <w:t>Khabar mutaw</w:t>
      </w:r>
      <w:r>
        <w:rPr>
          <w:rFonts w:ascii="Times New Roman" w:hAnsi="Times New Roman" w:cs="Times New Roman"/>
          <w:bCs/>
          <w:i/>
          <w:sz w:val="20"/>
          <w:szCs w:val="20"/>
        </w:rPr>
        <w:t>ā</w:t>
      </w:r>
      <w:r w:rsidRPr="00AF77B7">
        <w:rPr>
          <w:rFonts w:ascii="Times New Roman" w:hAnsi="Times New Roman" w:cs="Times New Roman"/>
          <w:bCs/>
          <w:i/>
          <w:sz w:val="20"/>
          <w:szCs w:val="20"/>
        </w:rPr>
        <w:t>tir</w:t>
      </w:r>
      <w:r w:rsidRPr="00AF77B7">
        <w:rPr>
          <w:rFonts w:ascii="Times New Roman" w:hAnsi="Times New Roman" w:cs="Times New Roman"/>
          <w:bCs/>
          <w:sz w:val="20"/>
          <w:szCs w:val="20"/>
        </w:rPr>
        <w:t xml:space="preserve"> is a report or tradition repeatedly transmitted by so many persons whose number and righteousness exclude any possibility of their prior agreement on a lie, e.g., </w:t>
      </w:r>
      <w:r>
        <w:rPr>
          <w:rFonts w:ascii="Times New Roman" w:hAnsi="Times New Roman" w:cs="Times New Roman"/>
          <w:bCs/>
          <w:sz w:val="20"/>
          <w:szCs w:val="20"/>
        </w:rPr>
        <w:t>Muḥammad</w:t>
      </w:r>
      <w:r w:rsidRPr="00AF77B7">
        <w:rPr>
          <w:rFonts w:ascii="Times New Roman" w:hAnsi="Times New Roman" w:cs="Times New Roman"/>
          <w:bCs/>
          <w:sz w:val="20"/>
          <w:szCs w:val="20"/>
        </w:rPr>
        <w:t xml:space="preserve">'s claim for prophecy. </w:t>
      </w:r>
      <w:r>
        <w:rPr>
          <w:rFonts w:ascii="Times New Roman" w:hAnsi="Times New Roman" w:cs="Times New Roman"/>
          <w:bCs/>
          <w:sz w:val="20"/>
          <w:szCs w:val="20"/>
        </w:rPr>
        <w:t>Māturīdī</w:t>
      </w:r>
      <w:r w:rsidRPr="00AF77B7">
        <w:rPr>
          <w:rFonts w:ascii="Times New Roman" w:hAnsi="Times New Roman" w:cs="Times New Roman"/>
          <w:bCs/>
          <w:sz w:val="20"/>
          <w:szCs w:val="20"/>
        </w:rPr>
        <w:t xml:space="preserve"> differs from preceding </w:t>
      </w:r>
      <w:r>
        <w:rPr>
          <w:rFonts w:ascii="Times New Roman" w:hAnsi="Times New Roman" w:cs="Times New Roman"/>
          <w:bCs/>
          <w:sz w:val="20"/>
          <w:szCs w:val="20"/>
        </w:rPr>
        <w:t xml:space="preserve">scholars in the description of </w:t>
      </w:r>
      <w:r w:rsidRPr="00AF77B7">
        <w:rPr>
          <w:rFonts w:ascii="Times New Roman" w:hAnsi="Times New Roman" w:cs="Times New Roman"/>
          <w:bCs/>
          <w:sz w:val="20"/>
          <w:szCs w:val="20"/>
        </w:rPr>
        <w:t>mutawātir. He does not consider the number and righteousness of so many persons as a guarantee of not agreeing on lying. Only the prophet is immune to</w:t>
      </w:r>
      <w:r>
        <w:rPr>
          <w:rFonts w:ascii="Times New Roman" w:hAnsi="Times New Roman" w:cs="Times New Roman"/>
          <w:bCs/>
          <w:sz w:val="20"/>
          <w:szCs w:val="20"/>
        </w:rPr>
        <w:t xml:space="preserve"> </w:t>
      </w:r>
      <w:r w:rsidRPr="00AF77B7">
        <w:rPr>
          <w:rFonts w:ascii="Times New Roman" w:hAnsi="Times New Roman" w:cs="Times New Roman"/>
          <w:bCs/>
          <w:sz w:val="20"/>
          <w:szCs w:val="20"/>
        </w:rPr>
        <w:t>lying not anyone else.</w:t>
      </w:r>
    </w:p>
    <w:p w:rsidR="00FC493E" w:rsidRPr="00AF77B7" w:rsidRDefault="00FC493E" w:rsidP="00FC493E">
      <w:pPr>
        <w:pStyle w:val="DipnotMetni"/>
        <w:ind w:left="567" w:right="334"/>
        <w:jc w:val="both"/>
        <w:rPr>
          <w:rFonts w:ascii="Times New Roman" w:hAnsi="Times New Roman" w:cs="Times New Roman"/>
          <w:lang w:val="tr-TR"/>
        </w:rPr>
      </w:pPr>
    </w:p>
  </w:footnote>
  <w:footnote w:id="8">
    <w:p w:rsidR="00FC493E" w:rsidRPr="00AF77B7" w:rsidRDefault="00FC493E" w:rsidP="00FC493E">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r w:rsidRPr="00AF77B7">
        <w:rPr>
          <w:rFonts w:ascii="Times New Roman" w:hAnsi="Times New Roman" w:cs="Times New Roman"/>
          <w:bCs/>
        </w:rPr>
        <w:t xml:space="preserve">al-Razī, </w:t>
      </w:r>
      <w:r w:rsidRPr="00AF77B7">
        <w:rPr>
          <w:rFonts w:ascii="Times New Roman" w:hAnsi="Times New Roman" w:cs="Times New Roman"/>
          <w:bCs/>
          <w:i/>
        </w:rPr>
        <w:t>Matālib</w:t>
      </w:r>
      <w:r w:rsidRPr="00AF77B7">
        <w:rPr>
          <w:rFonts w:ascii="Times New Roman" w:hAnsi="Times New Roman" w:cs="Times New Roman"/>
          <w:bCs/>
        </w:rPr>
        <w:t>, vol.III, p.164, the fourth argument.</w:t>
      </w:r>
    </w:p>
  </w:footnote>
  <w:footnote w:id="9">
    <w:p w:rsidR="00FC493E" w:rsidRPr="00AF77B7" w:rsidRDefault="00FC493E" w:rsidP="00FC493E">
      <w:pPr>
        <w:autoSpaceDE w:val="0"/>
        <w:autoSpaceDN w:val="0"/>
        <w:adjustRightInd w:val="0"/>
        <w:spacing w:after="0" w:line="240" w:lineRule="auto"/>
        <w:ind w:left="567" w:right="334"/>
        <w:jc w:val="both"/>
        <w:rPr>
          <w:rFonts w:ascii="Times New Roman" w:hAnsi="Times New Roman" w:cs="Times New Roman"/>
          <w:sz w:val="20"/>
          <w:szCs w:val="20"/>
          <w:lang w:val="tr-TR"/>
        </w:rPr>
      </w:pPr>
      <w:r w:rsidRPr="00AF77B7">
        <w:rPr>
          <w:rStyle w:val="DipnotBavurusu"/>
          <w:rFonts w:ascii="Times New Roman" w:hAnsi="Times New Roman" w:cs="Times New Roman"/>
          <w:sz w:val="20"/>
          <w:szCs w:val="20"/>
        </w:rPr>
        <w:footnoteRef/>
      </w:r>
      <w:r w:rsidRPr="00AF77B7">
        <w:rPr>
          <w:rFonts w:ascii="Times New Roman" w:hAnsi="Times New Roman" w:cs="Times New Roman"/>
          <w:sz w:val="20"/>
          <w:szCs w:val="20"/>
        </w:rPr>
        <w:t xml:space="preserve"> </w:t>
      </w:r>
      <w:r w:rsidRPr="00AF77B7">
        <w:rPr>
          <w:rFonts w:ascii="Times New Roman" w:hAnsi="Times New Roman" w:cs="Times New Roman"/>
          <w:bCs/>
          <w:sz w:val="20"/>
          <w:szCs w:val="20"/>
        </w:rPr>
        <w:t>This reminds one of Aristotle's notion that 'in the human soul lies an intuition or immediate knowledge of those highest principles which are the source and premise of all scientific and mediate knowledge and which a student must possess before he can be taught. These axioms possess an even higher certainty than the knowledge deduced from them'. Heschel, p.278f.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21"/>
    <w:rsid w:val="0014094B"/>
    <w:rsid w:val="004E3DC3"/>
    <w:rsid w:val="00747F29"/>
    <w:rsid w:val="0080761F"/>
    <w:rsid w:val="00C84221"/>
    <w:rsid w:val="00FC4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C86C"/>
  <w15:chartTrackingRefBased/>
  <w15:docId w15:val="{90697905-BB84-4E80-9AEC-9FA00090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93E"/>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C49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C493E"/>
    <w:rPr>
      <w:sz w:val="20"/>
      <w:szCs w:val="20"/>
      <w:lang w:val="en-US"/>
    </w:rPr>
  </w:style>
  <w:style w:type="character" w:styleId="DipnotBavurusu">
    <w:name w:val="footnote reference"/>
    <w:basedOn w:val="VarsaylanParagrafYazTipi"/>
    <w:uiPriority w:val="99"/>
    <w:semiHidden/>
    <w:unhideWhenUsed/>
    <w:rsid w:val="00FC4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3</cp:revision>
  <dcterms:created xsi:type="dcterms:W3CDTF">2020-05-07T09:05:00Z</dcterms:created>
  <dcterms:modified xsi:type="dcterms:W3CDTF">2020-05-07T09:07:00Z</dcterms:modified>
</cp:coreProperties>
</file>