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053" w:rsidRPr="00BA5355" w:rsidRDefault="00963053" w:rsidP="00963053">
      <w:pPr>
        <w:spacing w:line="360" w:lineRule="auto"/>
      </w:pPr>
      <w:r>
        <w:rPr>
          <w:rFonts w:ascii="TimesNewRoman,BoldItalic" w:hAnsi="TimesNewRoman,BoldItalic" w:cs="TimesNewRoman,BoldItalic"/>
          <w:b/>
          <w:bCs/>
          <w:iCs/>
        </w:rPr>
        <w:t xml:space="preserve">4.3.2. </w:t>
      </w:r>
      <w:r w:rsidRPr="00BA5355">
        <w:rPr>
          <w:rFonts w:ascii="TimesNewRoman,BoldItalic" w:hAnsi="TimesNewRoman,BoldItalic" w:cs="TimesNewRoman,BoldItalic"/>
          <w:b/>
          <w:bCs/>
          <w:iCs/>
        </w:rPr>
        <w:t>Proses Tasarım ve Kontrol İlişkileri: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tab/>
      </w:r>
      <w:r>
        <w:rPr>
          <w:rFonts w:ascii="TimesNewRoman" w:hAnsi="TimesNewRoman" w:cs="TimesNewRoman"/>
        </w:rPr>
        <w:t xml:space="preserve">Çeşitli sistem değişimlerinin etkilerini öngörmek açısından </w:t>
      </w:r>
      <w:r w:rsidRPr="00BA5355">
        <w:rPr>
          <w:rFonts w:ascii="TimesNewRoman" w:hAnsi="TimesNewRoman" w:cs="TimesNewRoman"/>
          <w:color w:val="FF0000"/>
        </w:rPr>
        <w:t>5.56</w:t>
      </w:r>
      <w:r>
        <w:rPr>
          <w:rFonts w:ascii="TimesNewRoman" w:hAnsi="TimesNewRoman" w:cs="TimesNewRoman"/>
        </w:rPr>
        <w:t xml:space="preserve"> ve </w:t>
      </w:r>
      <w:r w:rsidRPr="00BA5355">
        <w:rPr>
          <w:rFonts w:ascii="TimesNewRoman" w:hAnsi="TimesNewRoman" w:cs="TimesNewRoman"/>
          <w:color w:val="FF0000"/>
        </w:rPr>
        <w:t>5.57</w:t>
      </w:r>
      <w:r>
        <w:rPr>
          <w:rFonts w:ascii="TimesNewRoman" w:hAnsi="TimesNewRoman" w:cs="TimesNewRoman"/>
        </w:rPr>
        <w:t xml:space="preserve"> eşitlikleri oldukça faydalıdır. Ancak birçok sabit içerdiğinden tasarım açısından kullanımı güçtür. Bunun </w:t>
      </w:r>
      <w:proofErr w:type="spellStart"/>
      <w:r>
        <w:rPr>
          <w:rFonts w:ascii="TimesNewRoman" w:hAnsi="TimesNewRoman" w:cs="TimesNewRoman"/>
        </w:rPr>
        <w:t>yanısıra</w:t>
      </w:r>
      <w:proofErr w:type="spellEnd"/>
      <w:r>
        <w:rPr>
          <w:rFonts w:ascii="TimesNewRoman" w:hAnsi="TimesNewRoman" w:cs="TimesNewRoman"/>
        </w:rPr>
        <w:t xml:space="preserve"> farklı diğer proses tasarım eşitlikleri de geliştirilmiştir. Bunlar, özgül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kullanım hızı, ortalama çamur </w:t>
      </w:r>
      <w:proofErr w:type="gramStart"/>
      <w:r>
        <w:rPr>
          <w:rFonts w:ascii="TimesNewRoman" w:hAnsi="TimesNewRoman" w:cs="TimesNewRoman"/>
        </w:rPr>
        <w:t>yaşı,</w:t>
      </w:r>
      <w:proofErr w:type="gramEnd"/>
      <w:r>
        <w:rPr>
          <w:rFonts w:ascii="TimesNewRoman" w:hAnsi="TimesNewRoman" w:cs="TimesNewRoman"/>
        </w:rPr>
        <w:t xml:space="preserve"> ve F/M oranıdır. </w:t>
      </w:r>
    </w:p>
    <w:p w:rsidR="00D94C03" w:rsidRDefault="00D94C03" w:rsidP="00D94C0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D94C0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Eşitlik </w:t>
      </w:r>
      <w:r w:rsidRPr="00BA5355">
        <w:rPr>
          <w:rFonts w:ascii="TimesNewRoman" w:hAnsi="TimesNewRoman" w:cs="TimesNewRoman"/>
          <w:color w:val="FF0000"/>
        </w:rPr>
        <w:t>5.54</w:t>
      </w:r>
      <w:r>
        <w:rPr>
          <w:rFonts w:ascii="TimesNewRoman" w:hAnsi="TimesNewRoman" w:cs="TimesNewRoman"/>
        </w:rPr>
        <w:t>’deki (-</w:t>
      </w:r>
      <w:proofErr w:type="spellStart"/>
      <w:r>
        <w:rPr>
          <w:rFonts w:ascii="TimesNewRoman" w:hAnsi="TimesNewRoman" w:cs="TimesNewRoman"/>
        </w:rPr>
        <w:t>r</w:t>
      </w:r>
      <w:r>
        <w:rPr>
          <w:rFonts w:ascii="TimesNewRoman" w:hAnsi="TimesNewRoman" w:cs="TimesNewRoman"/>
          <w:sz w:val="16"/>
          <w:szCs w:val="16"/>
        </w:rPr>
        <w:t>su</w:t>
      </w:r>
      <w:proofErr w:type="spellEnd"/>
      <w:r>
        <w:rPr>
          <w:rFonts w:ascii="TimesNewRoman" w:hAnsi="TimesNewRoman" w:cs="TimesNewRoman"/>
        </w:rPr>
        <w:t xml:space="preserve">/X), U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kullanım hızı olarak bilinmektedir. </w:t>
      </w:r>
      <w:r w:rsidRPr="00BA5355">
        <w:rPr>
          <w:rFonts w:ascii="TimesNewRoman" w:hAnsi="TimesNewRoman" w:cs="TimesNewRoman"/>
          <w:color w:val="FF0000"/>
        </w:rPr>
        <w:t>5.55</w:t>
      </w:r>
      <w:r>
        <w:rPr>
          <w:rFonts w:ascii="TimesNewRoman" w:hAnsi="TimesNewRoman" w:cs="TimesNewRoman"/>
        </w:rPr>
        <w:t xml:space="preserve">’deki </w:t>
      </w:r>
      <w:proofErr w:type="spellStart"/>
      <w:r>
        <w:rPr>
          <w:rFonts w:ascii="TimesNewRoman" w:hAnsi="TimesNewRoman" w:cs="TimesNewRoman"/>
        </w:rPr>
        <w:t>r</w:t>
      </w:r>
      <w:r>
        <w:rPr>
          <w:rFonts w:ascii="TimesNewRoman" w:hAnsi="TimesNewRoman" w:cs="TimesNewRoman"/>
          <w:sz w:val="16"/>
          <w:szCs w:val="16"/>
        </w:rPr>
        <w:t>su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 xml:space="preserve">denklemi kullanılarak özgül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kullanım hızı aşağıdaki gibi hesaplanır:</w:t>
      </w:r>
    </w:p>
    <w:p w:rsidR="00963053" w:rsidRDefault="00963053" w:rsidP="00963053">
      <w:pPr>
        <w:spacing w:line="360" w:lineRule="auto"/>
      </w:pPr>
      <w:r w:rsidRPr="002F0088">
        <w:rPr>
          <w:position w:val="-30"/>
        </w:rPr>
        <w:object w:dxaOrig="31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pt;height:35.25pt" o:ole="">
            <v:imagedata r:id="rId4" o:title=""/>
          </v:shape>
          <o:OLEObject Type="Embed" ProgID="Equation.3" ShapeID="_x0000_i1025" DrawAspect="Content" ObjectID="_1568199851" r:id="rId5"/>
        </w:object>
      </w:r>
      <w:r>
        <w:t xml:space="preserve">                                                                          (</w:t>
      </w:r>
      <w:r w:rsidRPr="002F0088">
        <w:rPr>
          <w:color w:val="FF0000"/>
        </w:rPr>
        <w:t>5.59</w:t>
      </w:r>
      <w:r>
        <w:t>)</w:t>
      </w:r>
    </w:p>
    <w:p w:rsidR="00963053" w:rsidRDefault="00963053" w:rsidP="00963053">
      <w:pPr>
        <w:spacing w:line="360" w:lineRule="auto"/>
      </w:pPr>
      <w:r>
        <w:rPr>
          <w:rFonts w:ascii="TimesNewRoman" w:hAnsi="TimesNewRoman" w:cs="TimesNewRoman"/>
        </w:rPr>
        <w:t>5.54 eşitliğinde (-</w:t>
      </w:r>
      <w:proofErr w:type="spellStart"/>
      <w:r>
        <w:rPr>
          <w:rFonts w:ascii="TimesNewRoman" w:hAnsi="TimesNewRoman" w:cs="TimesNewRoman"/>
        </w:rPr>
        <w:t>r</w:t>
      </w:r>
      <w:r>
        <w:rPr>
          <w:rFonts w:ascii="TimesNewRoman" w:hAnsi="TimesNewRoman" w:cs="TimesNewRoman"/>
          <w:sz w:val="16"/>
          <w:szCs w:val="16"/>
        </w:rPr>
        <w:t>su</w:t>
      </w:r>
      <w:proofErr w:type="spellEnd"/>
      <w:r>
        <w:rPr>
          <w:rFonts w:ascii="TimesNewRoman" w:hAnsi="TimesNewRoman" w:cs="TimesNewRoman"/>
        </w:rPr>
        <w:t>/X) yerine U konulduğunda;</w:t>
      </w:r>
    </w:p>
    <w:p w:rsidR="00963053" w:rsidRDefault="00963053" w:rsidP="00963053">
      <w:pPr>
        <w:spacing w:line="360" w:lineRule="auto"/>
      </w:pPr>
      <w:r w:rsidRPr="00B01423">
        <w:rPr>
          <w:rFonts w:ascii="TimesNewRoman" w:hAnsi="TimesNewRoman" w:cs="TimesNewRoman"/>
          <w:position w:val="-30"/>
        </w:rPr>
        <w:object w:dxaOrig="1640" w:dyaOrig="700">
          <v:shape id="_x0000_i1026" type="#_x0000_t75" style="width:81.75pt;height:35.25pt" o:ole="">
            <v:imagedata r:id="rId6" o:title=""/>
          </v:shape>
          <o:OLEObject Type="Embed" ProgID="Equation.3" ShapeID="_x0000_i1026" DrawAspect="Content" ObjectID="_1568199852" r:id="rId7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(</w:t>
      </w:r>
      <w:r w:rsidRPr="002F0088">
        <w:rPr>
          <w:rFonts w:ascii="TimesNewRoman" w:hAnsi="TimesNewRoman" w:cs="TimesNewRoman"/>
          <w:color w:val="FF0000"/>
        </w:rPr>
        <w:t>5.54</w:t>
      </w:r>
      <w:r>
        <w:rPr>
          <w:rFonts w:ascii="TimesNewRoman" w:hAnsi="TimesNewRoman" w:cs="TimesNewRoman"/>
        </w:rPr>
        <w:t xml:space="preserve">)     </w:t>
      </w: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B01423">
        <w:rPr>
          <w:rFonts w:ascii="TimesNewRoman" w:hAnsi="TimesNewRoman" w:cs="TimesNewRoman"/>
          <w:position w:val="-30"/>
        </w:rPr>
        <w:object w:dxaOrig="1640" w:dyaOrig="680">
          <v:shape id="_x0000_i1027" type="#_x0000_t75" style="width:81.75pt;height:33.75pt" o:ole="">
            <v:imagedata r:id="rId8" o:title=""/>
          </v:shape>
          <o:OLEObject Type="Embed" ProgID="Equation.3" ShapeID="_x0000_i1027" DrawAspect="Content" ObjectID="_1568199853" r:id="rId9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(</w:t>
      </w:r>
      <w:r w:rsidRPr="002F0088">
        <w:rPr>
          <w:rFonts w:ascii="TimesNewRoman" w:hAnsi="TimesNewRoman" w:cs="TimesNewRoman"/>
          <w:color w:val="FF0000"/>
        </w:rPr>
        <w:t>5.60</w:t>
      </w:r>
      <w:r>
        <w:rPr>
          <w:rFonts w:ascii="TimesNewRoman" w:hAnsi="TimesNewRoman" w:cs="TimesNewRoman"/>
        </w:rPr>
        <w:t>)</w:t>
      </w: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5.60 eşitliğinden de görüldüğü gibi, 1/</w:t>
      </w:r>
      <w:r w:rsidRPr="002F0088">
        <w:rPr>
          <w:rFonts w:ascii="TimesNewRoman" w:hAnsi="TimesNewRoman" w:cs="TimesNewRoman"/>
          <w:i/>
        </w:rPr>
        <w:sym w:font="Symbol" w:char="F071"/>
      </w:r>
      <w:proofErr w:type="gramStart"/>
      <w:r w:rsidRPr="002F0088">
        <w:rPr>
          <w:rFonts w:ascii="TimesNewRoman" w:hAnsi="TimesNewRoman" w:cs="TimesNewRoman"/>
          <w:i/>
          <w:vertAlign w:val="subscript"/>
        </w:rPr>
        <w:t>C</w:t>
      </w:r>
      <w:r>
        <w:rPr>
          <w:rFonts w:ascii="TimesNewRoman" w:hAnsi="TimesNewRoman" w:cs="TimesNewRoman"/>
          <w:i/>
        </w:rPr>
        <w:t>,</w:t>
      </w:r>
      <w:r>
        <w:rPr>
          <w:rFonts w:ascii="TimesNewRoman" w:hAnsi="TimesNewRoman" w:cs="TimesNewRoman"/>
        </w:rPr>
        <w:t>,</w:t>
      </w:r>
      <w:proofErr w:type="gramEnd"/>
      <w:r>
        <w:rPr>
          <w:rFonts w:ascii="TimesNewRoman" w:hAnsi="TimesNewRoman" w:cs="TimesNewRoman"/>
        </w:rPr>
        <w:t xml:space="preserve"> net özgül büyüme hızı ile </w:t>
      </w:r>
      <w:r w:rsidRPr="002F0088">
        <w:rPr>
          <w:rFonts w:ascii="TimesNewRoman" w:hAnsi="TimesNewRoman" w:cs="TimesNewRoman"/>
          <w:i/>
        </w:rPr>
        <w:t>U</w:t>
      </w:r>
      <w:r>
        <w:rPr>
          <w:rFonts w:ascii="TimesNewRoman" w:hAnsi="TimesNewRoman" w:cs="TimesNewRoman"/>
        </w:rPr>
        <w:t xml:space="preserve">, özgül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kullanım hızı birbiriyle doğrudan ilişkilidir. U’yu belirlemek için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kullanımı ve mikroorganizma kütlesini bilmek gerekir. U’nun kontrol parametresi olarak değerlendirilmesi güçtür. </w:t>
      </w:r>
      <w:r w:rsidRPr="002F0088">
        <w:rPr>
          <w:rFonts w:ascii="TimesNewRoman" w:hAnsi="TimesNewRoman" w:cs="TimesNewRoman"/>
          <w:i/>
        </w:rPr>
        <w:sym w:font="Symbol" w:char="F071"/>
      </w:r>
      <w:r w:rsidRPr="002F0088">
        <w:rPr>
          <w:rFonts w:ascii="TimesNewRoman" w:hAnsi="TimesNewRoman" w:cs="TimesNewRoman"/>
          <w:i/>
          <w:vertAlign w:val="subscript"/>
        </w:rPr>
        <w:t>C</w:t>
      </w:r>
      <w:r>
        <w:rPr>
          <w:rFonts w:ascii="TimesNewRoman" w:hAnsi="TimesNewRoman" w:cs="TimesNewRoman"/>
        </w:rPr>
        <w:t xml:space="preserve"> ‘</w:t>
      </w:r>
      <w:proofErr w:type="spellStart"/>
      <w:r>
        <w:rPr>
          <w:rFonts w:ascii="TimesNewRoman" w:hAnsi="TimesNewRoman" w:cs="TimesNewRoman"/>
        </w:rPr>
        <w:t>nin</w:t>
      </w:r>
      <w:proofErr w:type="spellEnd"/>
      <w:r>
        <w:rPr>
          <w:rFonts w:ascii="TimesNewRoman" w:hAnsi="TimesNewRoman" w:cs="TimesNewRoman"/>
        </w:rPr>
        <w:t xml:space="preserve"> kullanımı uygundur.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2F0088">
        <w:rPr>
          <w:rFonts w:ascii="TimesNewRoman" w:hAnsi="TimesNewRoman" w:cs="TimesNewRoman"/>
          <w:i/>
        </w:rPr>
        <w:sym w:font="Symbol" w:char="F071"/>
      </w:r>
      <w:r w:rsidRPr="002F0088">
        <w:rPr>
          <w:rFonts w:ascii="TimesNewRoman" w:hAnsi="TimesNewRoman" w:cs="TimesNewRoman"/>
          <w:i/>
          <w:vertAlign w:val="subscript"/>
        </w:rPr>
        <w:t>C</w:t>
      </w:r>
      <w:r>
        <w:rPr>
          <w:rFonts w:ascii="TimesNewRoman" w:hAnsi="TimesNewRoman" w:cs="TimesNewRoman"/>
        </w:rPr>
        <w:t xml:space="preserve">’nin biyolojik arıtmada kontrol parametresi olarak kullanım amacı, mikroorganizma büyüme hızını ve atık stabilizasyon arıtma derecesini kontrol etmek ve sistemden atılacak günlük mikroorganizma kütlesini belirlemektir. Örneğin </w:t>
      </w:r>
      <w:r w:rsidRPr="002F0088">
        <w:rPr>
          <w:rFonts w:ascii="TimesNewRoman" w:hAnsi="TimesNewRoman" w:cs="TimesNewRoman"/>
          <w:i/>
        </w:rPr>
        <w:sym w:font="Symbol" w:char="F071"/>
      </w:r>
      <w:r w:rsidRPr="002F0088">
        <w:rPr>
          <w:rFonts w:ascii="TimesNewRoman" w:hAnsi="TimesNewRoman" w:cs="TimesNewRoman"/>
          <w:i/>
          <w:vertAlign w:val="subscript"/>
        </w:rPr>
        <w:t>C</w:t>
      </w:r>
      <w:r>
        <w:rPr>
          <w:rFonts w:ascii="TimesNewRoman" w:hAnsi="TimesNewRoman" w:cs="TimesNewRoman"/>
        </w:rPr>
        <w:t>’nin 10 gün bulunması durumunda, sistemden günlük atılması gereken çamur miktarı, sistemdeki toplam mikroorganizmanın %10’u kadar olacaktır.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tab/>
      </w:r>
      <w:r>
        <w:rPr>
          <w:rFonts w:ascii="TimesNewRoman" w:hAnsi="TimesNewRoman" w:cs="TimesNewRoman"/>
        </w:rPr>
        <w:t>Tam karışmalı reaktörde, fazla çamur atımı reaktörden veya geri dönüş hattından yapılabilir. Çamur uzaklaştırma doğrudan reaktörden yapılırsa ve çıkış hattındaki katı madde derişimi, X</w:t>
      </w:r>
      <w:r>
        <w:rPr>
          <w:rFonts w:ascii="TimesNewRoman" w:hAnsi="TimesNewRoman" w:cs="TimesNewRoman"/>
          <w:sz w:val="16"/>
          <w:szCs w:val="16"/>
        </w:rPr>
        <w:t xml:space="preserve">e </w:t>
      </w:r>
      <w:r>
        <w:rPr>
          <w:rFonts w:ascii="TimesNewRoman" w:hAnsi="TimesNewRoman" w:cs="TimesNewRoman"/>
        </w:rPr>
        <w:t xml:space="preserve">ihmal edilebilecek kadar az ise </w:t>
      </w:r>
      <w:r w:rsidRPr="0053581B">
        <w:rPr>
          <w:rFonts w:ascii="TimesNewRoman" w:hAnsi="TimesNewRoman" w:cs="TimesNewRoman"/>
          <w:color w:val="FF0000"/>
        </w:rPr>
        <w:t>5.50’deki</w:t>
      </w:r>
      <w:r>
        <w:rPr>
          <w:rFonts w:ascii="TimesNewRoman" w:hAnsi="TimesNewRoman" w:cs="TimesNewRoman"/>
        </w:rPr>
        <w:t xml:space="preserve"> eşitlik aşağıdaki gibi yazılabilir: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 w:rsidRPr="0053581B">
        <w:rPr>
          <w:rFonts w:ascii="TimesNewRoman" w:hAnsi="TimesNewRoman" w:cs="TimesNewRoman"/>
          <w:position w:val="-30"/>
        </w:rPr>
        <w:object w:dxaOrig="1120" w:dyaOrig="700">
          <v:shape id="_x0000_i1028" type="#_x0000_t75" style="width:56.25pt;height:35.25pt" o:ole="">
            <v:imagedata r:id="rId10" o:title=""/>
          </v:shape>
          <o:OLEObject Type="Embed" ProgID="Equation.3" ShapeID="_x0000_i1028" DrawAspect="Content" ObjectID="_1568199854" r:id="rId11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           (</w:t>
      </w:r>
      <w:r w:rsidRPr="00396B29">
        <w:rPr>
          <w:rFonts w:ascii="TimesNewRoman" w:hAnsi="TimesNewRoman" w:cs="TimesNewRoman"/>
          <w:color w:val="FF0000"/>
        </w:rPr>
        <w:t>5.61</w:t>
      </w:r>
      <w:r>
        <w:rPr>
          <w:rFonts w:ascii="TimesNewRoman" w:hAnsi="TimesNewRoman" w:cs="TimesNewRoman"/>
        </w:rPr>
        <w:t>)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tab/>
      </w:r>
      <w:r>
        <w:rPr>
          <w:rFonts w:ascii="TimesNewRoman" w:hAnsi="TimesNewRoman" w:cs="TimesNewRoman"/>
        </w:rPr>
        <w:t xml:space="preserve">Tam karışmalı reaktörde, fazla çamur atımı geri dönüş hattından yapılırsa </w:t>
      </w:r>
      <w:proofErr w:type="gramStart"/>
      <w:r>
        <w:rPr>
          <w:rFonts w:ascii="TimesNewRoman" w:hAnsi="TimesNewRoman" w:cs="TimesNewRoman"/>
        </w:rPr>
        <w:t>ve  X</w:t>
      </w:r>
      <w:r>
        <w:rPr>
          <w:rFonts w:ascii="TimesNewRoman" w:hAnsi="TimesNewRoman" w:cs="TimesNewRoman"/>
          <w:sz w:val="16"/>
          <w:szCs w:val="16"/>
        </w:rPr>
        <w:t>e</w:t>
      </w:r>
      <w:proofErr w:type="gramEnd"/>
      <w:r>
        <w:rPr>
          <w:rFonts w:ascii="TimesNewRoman" w:hAnsi="TimesNewRoman" w:cs="TimesNewRoman"/>
          <w:sz w:val="16"/>
          <w:szCs w:val="16"/>
        </w:rPr>
        <w:t xml:space="preserve">  </w:t>
      </w:r>
      <w:r>
        <w:rPr>
          <w:rFonts w:ascii="TimesNewRoman" w:hAnsi="TimesNewRoman" w:cs="TimesNewRoman"/>
        </w:rPr>
        <w:t xml:space="preserve">ihmal edilirse </w:t>
      </w:r>
      <w:r w:rsidRPr="002F0088">
        <w:rPr>
          <w:rFonts w:ascii="TimesNewRoman" w:hAnsi="TimesNewRoman" w:cs="TimesNewRoman"/>
          <w:i/>
        </w:rPr>
        <w:sym w:font="Symbol" w:char="F071"/>
      </w:r>
      <w:r w:rsidRPr="002F0088">
        <w:rPr>
          <w:rFonts w:ascii="TimesNewRoman" w:hAnsi="TimesNewRoman" w:cs="TimesNewRoman"/>
          <w:i/>
          <w:vertAlign w:val="subscript"/>
        </w:rPr>
        <w:t>C</w:t>
      </w:r>
      <w:r>
        <w:rPr>
          <w:rFonts w:ascii="TimesNewRoman" w:hAnsi="TimesNewRoman" w:cs="TimesNewRoman"/>
        </w:rPr>
        <w:t xml:space="preserve">  şöyle basitleştirilebilir :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 w:rsidRPr="0053581B">
        <w:rPr>
          <w:rFonts w:ascii="TimesNewRoman" w:hAnsi="TimesNewRoman" w:cs="TimesNewRoman"/>
          <w:position w:val="-38"/>
        </w:rPr>
        <w:object w:dxaOrig="1280" w:dyaOrig="780">
          <v:shape id="_x0000_i1029" type="#_x0000_t75" style="width:63.75pt;height:39pt" o:ole="">
            <v:imagedata r:id="rId12" o:title=""/>
          </v:shape>
          <o:OLEObject Type="Embed" ProgID="Equation.3" ShapeID="_x0000_i1029" DrawAspect="Content" ObjectID="_1568199855" r:id="rId13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        (</w:t>
      </w:r>
      <w:r w:rsidRPr="00396B29">
        <w:rPr>
          <w:rFonts w:ascii="TimesNewRoman" w:hAnsi="TimesNewRoman" w:cs="TimesNewRoman"/>
          <w:color w:val="FF0000"/>
        </w:rPr>
        <w:t>5.62</w:t>
      </w:r>
      <w:r>
        <w:rPr>
          <w:rFonts w:ascii="TimesNewRoman" w:hAnsi="TimesNewRoman" w:cs="TimesNewRoman"/>
        </w:rPr>
        <w:t>)</w:t>
      </w: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625187">
        <w:rPr>
          <w:rFonts w:ascii="TimesNewRoman" w:hAnsi="TimesNewRoman" w:cs="TimesNewRoman"/>
          <w:i/>
        </w:rPr>
        <w:t>F/M</w:t>
      </w:r>
      <w:r>
        <w:rPr>
          <w:rFonts w:ascii="TimesNewRoman" w:hAnsi="TimesNewRoman" w:cs="TimesNewRoman"/>
        </w:rPr>
        <w:t>, pratikte en çok kullanılan tasarım ve kontrol parametresidir. Eğer besi-mikroorganizma oranı (</w:t>
      </w:r>
      <w:r w:rsidRPr="00625187">
        <w:rPr>
          <w:rFonts w:ascii="TimesNewRoman" w:hAnsi="TimesNewRoman" w:cs="TimesNewRoman"/>
          <w:i/>
        </w:rPr>
        <w:t>F/M</w:t>
      </w:r>
      <w:r>
        <w:rPr>
          <w:rFonts w:ascii="TimesNewRoman" w:hAnsi="TimesNewRoman" w:cs="TimesNewRoman"/>
        </w:rPr>
        <w:t xml:space="preserve">) belli ise, </w:t>
      </w:r>
      <w:r w:rsidRPr="00625187">
        <w:rPr>
          <w:rFonts w:ascii="TimesNewRoman" w:hAnsi="TimesNewRoman" w:cs="TimesNewRoman"/>
          <w:i/>
        </w:rPr>
        <w:t>U</w:t>
      </w:r>
      <w:r>
        <w:rPr>
          <w:rFonts w:ascii="TimesNewRoman" w:hAnsi="TimesNewRoman" w:cs="TimesNewRoman"/>
        </w:rPr>
        <w:t xml:space="preserve"> kontrol parametresi olarak kullanılabilir.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625187">
        <w:rPr>
          <w:rFonts w:ascii="TimesNewRoman" w:hAnsi="TimesNewRoman" w:cs="TimesNewRoman"/>
          <w:position w:val="-24"/>
        </w:rPr>
        <w:object w:dxaOrig="940" w:dyaOrig="639">
          <v:shape id="_x0000_i1030" type="#_x0000_t75" style="width:47.25pt;height:32.25pt" o:ole="">
            <v:imagedata r:id="rId14" o:title=""/>
          </v:shape>
          <o:OLEObject Type="Embed" ProgID="Equation.3" ShapeID="_x0000_i1030" DrawAspect="Content" ObjectID="_1568199856" r:id="rId15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             (</w:t>
      </w:r>
      <w:r w:rsidRPr="00396B29">
        <w:rPr>
          <w:rFonts w:ascii="TimesNewRoman" w:hAnsi="TimesNewRoman" w:cs="TimesNewRoman"/>
          <w:color w:val="FF0000"/>
        </w:rPr>
        <w:t>5.63</w:t>
      </w:r>
      <w:r>
        <w:rPr>
          <w:rFonts w:ascii="TimesNewRoman" w:hAnsi="TimesNewRoman" w:cs="TimesNewRoman"/>
        </w:rPr>
        <w:t>)</w:t>
      </w:r>
    </w:p>
    <w:p w:rsidR="00D94C03" w:rsidRDefault="00D94C0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625187">
        <w:rPr>
          <w:rFonts w:ascii="TimesNewRoman" w:hAnsi="TimesNewRoman" w:cs="TimesNewRoman"/>
          <w:i/>
        </w:rPr>
        <w:t>U</w:t>
      </w:r>
      <w:r>
        <w:rPr>
          <w:rFonts w:ascii="TimesNewRoman" w:hAnsi="TimesNewRoman" w:cs="TimesNewRoman"/>
        </w:rPr>
        <w:t xml:space="preserve"> ve </w:t>
      </w:r>
      <w:r w:rsidRPr="00625187">
        <w:rPr>
          <w:rFonts w:ascii="TimesNewRoman" w:hAnsi="TimesNewRoman" w:cs="TimesNewRoman"/>
          <w:i/>
        </w:rPr>
        <w:t>F/M</w:t>
      </w:r>
      <w:r>
        <w:rPr>
          <w:rFonts w:ascii="TimesNewRoman" w:hAnsi="TimesNewRoman" w:cs="TimesNewRoman"/>
        </w:rPr>
        <w:t xml:space="preserve"> proses verimliliği ile de ilgilidir. 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396B29">
        <w:rPr>
          <w:rFonts w:ascii="TimesNewRoman" w:hAnsi="TimesNewRoman" w:cs="TimesNewRoman"/>
          <w:position w:val="-24"/>
        </w:rPr>
        <w:object w:dxaOrig="1440" w:dyaOrig="620">
          <v:shape id="_x0000_i1031" type="#_x0000_t75" style="width:1in;height:30.75pt" o:ole="">
            <v:imagedata r:id="rId16" o:title=""/>
          </v:shape>
          <o:OLEObject Type="Embed" ProgID="Equation.3" ShapeID="_x0000_i1031" DrawAspect="Content" ObjectID="_1568199857" r:id="rId17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       (</w:t>
      </w:r>
      <w:r w:rsidRPr="00396B29">
        <w:rPr>
          <w:rFonts w:ascii="TimesNewRoman" w:hAnsi="TimesNewRoman" w:cs="TimesNewRoman"/>
          <w:color w:val="FF0000"/>
        </w:rPr>
        <w:t>5.64</w:t>
      </w:r>
      <w:r>
        <w:rPr>
          <w:rFonts w:ascii="TimesNewRoman" w:hAnsi="TimesNewRoman" w:cs="TimesNewRoman"/>
        </w:rPr>
        <w:t>)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 proses verimi aşağıdaki gibi yazılabilir.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396B29">
        <w:rPr>
          <w:rFonts w:ascii="TimesNewRoman" w:hAnsi="TimesNewRoman" w:cs="TimesNewRoman"/>
          <w:position w:val="-30"/>
        </w:rPr>
        <w:object w:dxaOrig="1620" w:dyaOrig="700">
          <v:shape id="_x0000_i1032" type="#_x0000_t75" style="width:81pt;height:35.25pt" o:ole="">
            <v:imagedata r:id="rId18" o:title=""/>
          </v:shape>
          <o:OLEObject Type="Embed" ProgID="Equation.3" ShapeID="_x0000_i1032" DrawAspect="Content" ObjectID="_1568199858" r:id="rId19"/>
        </w:object>
      </w:r>
      <w:r>
        <w:rPr>
          <w:rFonts w:ascii="TimesNewRoman" w:hAnsi="TimesNewRoman" w:cs="TimesNewRoman"/>
        </w:rPr>
        <w:t xml:space="preserve">                                                                                                               (</w:t>
      </w:r>
      <w:r w:rsidRPr="00396B29">
        <w:rPr>
          <w:rFonts w:ascii="TimesNewRoman" w:hAnsi="TimesNewRoman" w:cs="TimesNewRoman"/>
          <w:color w:val="FF0000"/>
        </w:rPr>
        <w:t>5.65</w:t>
      </w:r>
      <w:r>
        <w:rPr>
          <w:rFonts w:ascii="TimesNewRoman" w:hAnsi="TimesNewRoman" w:cs="TimesNewRoman"/>
        </w:rPr>
        <w:t>)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  <w:i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 w:rsidRPr="00396B29">
        <w:rPr>
          <w:rFonts w:ascii="TimesNewRoman" w:hAnsi="TimesNewRoman" w:cs="TimesNewRoman"/>
          <w:i/>
        </w:rPr>
        <w:t>E</w:t>
      </w:r>
      <w:r>
        <w:rPr>
          <w:rFonts w:ascii="TimesNewRoman" w:hAnsi="TimesNewRoman" w:cs="TimesNewRoman"/>
        </w:rPr>
        <w:t xml:space="preserve"> = proses verimi, %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proofErr w:type="spellStart"/>
      <w:r w:rsidRPr="00396B29">
        <w:rPr>
          <w:rFonts w:ascii="TimesNewRoman" w:hAnsi="TimesNewRoman" w:cs="TimesNewRoman"/>
          <w:i/>
        </w:rPr>
        <w:t>S</w:t>
      </w:r>
      <w:r w:rsidRPr="00396B29">
        <w:rPr>
          <w:rFonts w:ascii="TimesNewRoman" w:hAnsi="TimesNewRoman" w:cs="TimesNewRoman"/>
          <w:i/>
          <w:sz w:val="16"/>
          <w:szCs w:val="16"/>
        </w:rPr>
        <w:t>o</w:t>
      </w:r>
      <w:proofErr w:type="spellEnd"/>
      <w:r>
        <w:rPr>
          <w:rFonts w:ascii="TimesNewRoman" w:hAnsi="TimesNewRoman" w:cs="TimesNewRoman"/>
          <w:sz w:val="16"/>
          <w:szCs w:val="16"/>
        </w:rPr>
        <w:t xml:space="preserve"> </w:t>
      </w:r>
      <w:r>
        <w:rPr>
          <w:rFonts w:ascii="TimesNewRoman" w:hAnsi="TimesNewRoman" w:cs="TimesNewRoman"/>
        </w:rPr>
        <w:t xml:space="preserve">= giriş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derişimi,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 w:rsidRPr="00396B29">
        <w:rPr>
          <w:rFonts w:ascii="TimesNewRoman" w:hAnsi="TimesNewRoman" w:cs="TimesNewRoman"/>
          <w:i/>
        </w:rPr>
        <w:t>S</w:t>
      </w:r>
      <w:r>
        <w:rPr>
          <w:rFonts w:ascii="TimesNewRoman" w:hAnsi="TimesNewRoman" w:cs="TimesNewRoman"/>
        </w:rPr>
        <w:t xml:space="preserve"> = çıkış </w:t>
      </w:r>
      <w:proofErr w:type="spellStart"/>
      <w:r>
        <w:rPr>
          <w:rFonts w:ascii="TimesNewRoman" w:hAnsi="TimesNewRoman" w:cs="TimesNewRoman"/>
        </w:rPr>
        <w:t>substrat</w:t>
      </w:r>
      <w:proofErr w:type="spellEnd"/>
      <w:r>
        <w:rPr>
          <w:rFonts w:ascii="TimesNewRoman" w:hAnsi="TimesNewRoman" w:cs="TimesNewRoman"/>
        </w:rPr>
        <w:t xml:space="preserve"> derişimi 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Şekil 5.7 de, tam karışmalı ve piston akışlı reaktörlerin arıtım verimi ve çıkış atık </w:t>
      </w:r>
      <w:proofErr w:type="spellStart"/>
      <w:r>
        <w:rPr>
          <w:rFonts w:ascii="TimesNewRoman" w:hAnsi="TimesNewRoman" w:cs="TimesNewRoman"/>
        </w:rPr>
        <w:t>derişimlerinin</w:t>
      </w:r>
      <w:proofErr w:type="spellEnd"/>
      <w:r>
        <w:rPr>
          <w:rFonts w:ascii="TimesNewRoman" w:hAnsi="TimesNewRoman" w:cs="TimesNewRoman"/>
        </w:rPr>
        <w:t xml:space="preserve"> ortalama hücre kalma süresiyle değişimi görülmektedir.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943600" cy="3429000"/>
                <wp:effectExtent l="4445" t="4445" r="0" b="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429000"/>
                          <a:chOff x="1417" y="7717"/>
                          <a:chExt cx="9360" cy="54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57" y="12397"/>
                            <a:ext cx="54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053" w:rsidRDefault="00963053" w:rsidP="00963053">
                              <w:r>
                                <w:t xml:space="preserve">Ortalama hücre kalma süresi (çamur yaşı), </w:t>
                              </w:r>
                              <w:r w:rsidRPr="00345340">
                                <w:rPr>
                                  <w:i/>
                                </w:rPr>
                                <w:sym w:font="Symbol" w:char="F071"/>
                              </w:r>
                              <w:r w:rsidRPr="00345340">
                                <w:rPr>
                                  <w:i/>
                                  <w:vertAlign w:val="subscript"/>
                                </w:rPr>
                                <w:t>C</w:t>
                              </w:r>
                              <w:r>
                                <w:t>, gün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7717"/>
                            <a:ext cx="1620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 xml:space="preserve">Çıkış </w:t>
                              </w: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proofErr w:type="gramStart"/>
                              <w:r>
                                <w:t>akımındaki</w:t>
                              </w:r>
                              <w:proofErr w:type="gramEnd"/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substrat</w:t>
                              </w:r>
                              <w:proofErr w:type="spellEnd"/>
                              <w:proofErr w:type="gramEnd"/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  <w:proofErr w:type="gramStart"/>
                              <w:r>
                                <w:t>derişimi</w:t>
                              </w:r>
                              <w:proofErr w:type="gramEnd"/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>S</w:t>
                              </w: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  <w:proofErr w:type="gramStart"/>
                              <w:r>
                                <w:t>mg</w:t>
                              </w:r>
                              <w:proofErr w:type="gramEnd"/>
                              <w:r>
                                <w:t>/L)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37" y="8257"/>
                            <a:ext cx="1440" cy="3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>Giderim</w:t>
                              </w: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>Etkinliği</w:t>
                              </w: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</w:p>
                            <w:p w:rsidR="00963053" w:rsidRDefault="00963053" w:rsidP="00963053">
                              <w:pPr>
                                <w:jc w:val="center"/>
                              </w:pPr>
                              <w:r>
                                <w:t>%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8617"/>
                            <a:ext cx="21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3053" w:rsidRPr="00925587" w:rsidRDefault="00963053" w:rsidP="00963053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25587">
                                <w:rPr>
                                  <w:sz w:val="22"/>
                                  <w:szCs w:val="22"/>
                                </w:rPr>
                                <w:t>Piston akışlı reaktör</w:t>
                              </w:r>
                            </w:p>
                            <w:p w:rsidR="00963053" w:rsidRDefault="00963053" w:rsidP="00963053">
                              <w:r w:rsidRPr="00925587">
                                <w:rPr>
                                  <w:sz w:val="22"/>
                                  <w:szCs w:val="22"/>
                                </w:rPr>
                                <w:t>Tam karışmalı reaktör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margin-left:0;margin-top:7.5pt;width:468pt;height:270pt;z-index:251659264" coordorigin="1417,7717" coordsize="936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57;top:12397;width:54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963053" w:rsidRDefault="00963053" w:rsidP="00963053">
                        <w:r>
                          <w:t xml:space="preserve">Ortalama hücre kalma süresi (çamur yaşı), </w:t>
                        </w:r>
                        <w:r w:rsidRPr="00345340">
                          <w:rPr>
                            <w:i/>
                          </w:rPr>
                          <w:sym w:font="Symbol" w:char="F071"/>
                        </w:r>
                        <w:r w:rsidRPr="00345340">
                          <w:rPr>
                            <w:i/>
                            <w:vertAlign w:val="subscript"/>
                          </w:rPr>
                          <w:t>C</w:t>
                        </w:r>
                        <w:r>
                          <w:t>, gün</w:t>
                        </w:r>
                      </w:p>
                    </w:txbxContent>
                  </v:textbox>
                </v:shape>
                <v:shape id="Text Box 4" o:spid="_x0000_s1028" type="#_x0000_t202" style="position:absolute;left:1417;top:7717;width:1620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963053" w:rsidRDefault="00963053" w:rsidP="00963053">
                        <w:pPr>
                          <w:jc w:val="center"/>
                        </w:pPr>
                        <w:r>
                          <w:t xml:space="preserve">Çıkış </w:t>
                        </w:r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proofErr w:type="gramStart"/>
                        <w:r>
                          <w:t>akımındaki</w:t>
                        </w:r>
                        <w:proofErr w:type="gramEnd"/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substrat</w:t>
                        </w:r>
                        <w:proofErr w:type="spellEnd"/>
                        <w:proofErr w:type="gramEnd"/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 xml:space="preserve"> </w:t>
                        </w:r>
                        <w:proofErr w:type="gramStart"/>
                        <w:r>
                          <w:t>derişimi</w:t>
                        </w:r>
                        <w:proofErr w:type="gramEnd"/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>S</w:t>
                        </w:r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>(</w:t>
                        </w:r>
                        <w:proofErr w:type="gramStart"/>
                        <w:r>
                          <w:t>mg</w:t>
                        </w:r>
                        <w:proofErr w:type="gramEnd"/>
                        <w:r>
                          <w:t>/L)</w:t>
                        </w:r>
                      </w:p>
                    </w:txbxContent>
                  </v:textbox>
                </v:shape>
                <v:shape id="Text Box 5" o:spid="_x0000_s1029" type="#_x0000_t202" style="position:absolute;left:9337;top:8257;width:1440;height: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>Giderim</w:t>
                        </w:r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>Etkinliği</w:t>
                        </w:r>
                      </w:p>
                      <w:p w:rsidR="00963053" w:rsidRDefault="00963053" w:rsidP="00963053">
                        <w:pPr>
                          <w:jc w:val="center"/>
                        </w:pPr>
                      </w:p>
                      <w:p w:rsidR="00963053" w:rsidRDefault="00963053" w:rsidP="00963053">
                        <w:pPr>
                          <w:jc w:val="center"/>
                        </w:pPr>
                        <w:r>
                          <w:t>% E</w:t>
                        </w:r>
                      </w:p>
                    </w:txbxContent>
                  </v:textbox>
                </v:shape>
                <v:shape id="Text Box 6" o:spid="_x0000_s1030" type="#_x0000_t202" style="position:absolute;left:6457;top:8617;width:21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963053" w:rsidRPr="00925587" w:rsidRDefault="00963053" w:rsidP="00963053">
                        <w:pPr>
                          <w:rPr>
                            <w:sz w:val="22"/>
                            <w:szCs w:val="22"/>
                          </w:rPr>
                        </w:pPr>
                        <w:r w:rsidRPr="00925587">
                          <w:rPr>
                            <w:sz w:val="22"/>
                            <w:szCs w:val="22"/>
                          </w:rPr>
                          <w:t>Piston akışlı reaktör</w:t>
                        </w:r>
                      </w:p>
                      <w:p w:rsidR="00963053" w:rsidRDefault="00963053" w:rsidP="00963053">
                        <w:r w:rsidRPr="00925587">
                          <w:rPr>
                            <w:sz w:val="22"/>
                            <w:szCs w:val="22"/>
                          </w:rPr>
                          <w:t>Tam karışmalı reaktör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257800" cy="3343275"/>
            <wp:effectExtent l="0" t="0" r="0" b="9525"/>
            <wp:docPr id="1" name="Resim 1" descr="A4149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414917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ind w:left="900" w:hanging="90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Şekil 5.7. Tam karışmalı ve piston akışlı reaktörlerin arıtım verimi ve çıkış atık </w:t>
      </w:r>
      <w:proofErr w:type="spellStart"/>
      <w:r>
        <w:rPr>
          <w:rFonts w:ascii="TimesNewRoman" w:hAnsi="TimesNewRoman" w:cs="TimesNewRoman"/>
        </w:rPr>
        <w:t>derişimlerinin</w:t>
      </w:r>
      <w:proofErr w:type="spellEnd"/>
      <w:r>
        <w:rPr>
          <w:rFonts w:ascii="TimesNewRoman" w:hAnsi="TimesNewRoman" w:cs="TimesNewRoman"/>
        </w:rPr>
        <w:t xml:space="preserve"> ortalama hücre kalma süresi ya da çamur yaşıyla değişimi</w:t>
      </w: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  <w:t>Şekilden de görüldüğü gibi, piston akışlı reaktörde aynı giderim etkinliğine daha kısa sürede ulaşmak mümkündür.</w:t>
      </w:r>
    </w:p>
    <w:p w:rsidR="00D94C03" w:rsidRDefault="00D94C0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D94C03" w:rsidRDefault="00D94C0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  <w:bookmarkStart w:id="0" w:name="_GoBack"/>
      <w:bookmarkEnd w:id="0"/>
      <w:r>
        <w:rPr>
          <w:rFonts w:ascii="TimesNewRoman" w:hAnsi="TimesNewRoman" w:cs="TimesNewRoman"/>
        </w:rPr>
        <w:t xml:space="preserve">Tablo </w:t>
      </w:r>
      <w:r w:rsidRPr="00500586">
        <w:rPr>
          <w:rFonts w:ascii="TimesNewRoman" w:hAnsi="TimesNewRoman" w:cs="TimesNewRoman"/>
          <w:color w:val="FF0000"/>
        </w:rPr>
        <w:t>5.10</w:t>
      </w:r>
      <w:r>
        <w:rPr>
          <w:rFonts w:ascii="TimesNewRoman" w:hAnsi="TimesNewRoman" w:cs="TimesNewRoman"/>
        </w:rPr>
        <w:t xml:space="preserve">. Aktif çamur prosesi için tipik kinetik katsayılar </w:t>
      </w:r>
    </w:p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714"/>
        <w:gridCol w:w="2828"/>
        <w:gridCol w:w="2261"/>
        <w:gridCol w:w="2259"/>
      </w:tblGrid>
      <w:tr w:rsidR="00963053" w:rsidTr="0007181B">
        <w:tc>
          <w:tcPr>
            <w:tcW w:w="1728" w:type="dxa"/>
            <w:vMerge w:val="restart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Katsayılar</w:t>
            </w:r>
          </w:p>
        </w:tc>
        <w:tc>
          <w:tcPr>
            <w:tcW w:w="2878" w:type="dxa"/>
            <w:vMerge w:val="restart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Birim</w:t>
            </w:r>
          </w:p>
        </w:tc>
        <w:tc>
          <w:tcPr>
            <w:tcW w:w="4606" w:type="dxa"/>
            <w:gridSpan w:val="2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Değerler</w:t>
            </w:r>
          </w:p>
        </w:tc>
      </w:tr>
      <w:tr w:rsidR="00963053" w:rsidTr="0007181B">
        <w:tc>
          <w:tcPr>
            <w:tcW w:w="1728" w:type="dxa"/>
            <w:vMerge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878" w:type="dxa"/>
            <w:vMerge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aralık</w:t>
            </w:r>
            <w:proofErr w:type="gramEnd"/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tipik</w:t>
            </w:r>
            <w:proofErr w:type="gramEnd"/>
          </w:p>
        </w:tc>
      </w:tr>
      <w:tr w:rsidR="00963053" w:rsidTr="0007181B">
        <w:tc>
          <w:tcPr>
            <w:tcW w:w="172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k</w:t>
            </w:r>
            <w:proofErr w:type="gramEnd"/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gün</w:t>
            </w:r>
            <w:proofErr w:type="gramEnd"/>
            <w:r w:rsidRPr="00500586">
              <w:rPr>
                <w:rFonts w:ascii="TimesNewRoman" w:hAnsi="TimesNewRoman" w:cs="TimesNewRoman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2-10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</w:t>
            </w:r>
          </w:p>
        </w:tc>
      </w:tr>
      <w:tr w:rsidR="00963053" w:rsidTr="0007181B">
        <w:tc>
          <w:tcPr>
            <w:tcW w:w="1728" w:type="dxa"/>
            <w:vMerge w:val="restart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t>K</w:t>
            </w:r>
            <w:r>
              <w:rPr>
                <w:rFonts w:ascii="TimesNewRoman" w:hAnsi="TimesNewRoman" w:cs="TimesNewRoman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mg</w:t>
            </w:r>
            <w:proofErr w:type="gramEnd"/>
            <w:r>
              <w:rPr>
                <w:rFonts w:ascii="TimesNewRoman" w:hAnsi="TimesNewRoman" w:cs="TimesNewRoman"/>
              </w:rPr>
              <w:t>/l BOI</w:t>
            </w:r>
            <w:r>
              <w:rPr>
                <w:rFonts w:ascii="TimesNewRoman" w:hAnsi="TimesNewRoman" w:cs="TimesNewRoman"/>
                <w:sz w:val="16"/>
                <w:szCs w:val="16"/>
              </w:rPr>
              <w:t>5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25-100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60</w:t>
            </w:r>
          </w:p>
        </w:tc>
      </w:tr>
      <w:tr w:rsidR="00963053" w:rsidTr="0007181B">
        <w:tc>
          <w:tcPr>
            <w:tcW w:w="1728" w:type="dxa"/>
            <w:vMerge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mg</w:t>
            </w:r>
            <w:proofErr w:type="gramEnd"/>
            <w:r>
              <w:rPr>
                <w:rFonts w:ascii="TimesNewRoman" w:hAnsi="TimesNewRoman" w:cs="TimesNewRoman"/>
              </w:rPr>
              <w:t>/l KOI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15-70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40</w:t>
            </w:r>
          </w:p>
        </w:tc>
      </w:tr>
      <w:tr w:rsidR="00963053" w:rsidTr="0007181B">
        <w:tc>
          <w:tcPr>
            <w:tcW w:w="1728" w:type="dxa"/>
            <w:vMerge w:val="restart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Y</w:t>
            </w:r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mg</w:t>
            </w:r>
            <w:proofErr w:type="gramEnd"/>
            <w:r>
              <w:rPr>
                <w:rFonts w:ascii="TimesNewRoman" w:hAnsi="TimesNewRoman" w:cs="TimesNewRoman"/>
              </w:rPr>
              <w:t xml:space="preserve"> VSS(ya da UAKM)</w:t>
            </w:r>
          </w:p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/mg BOI</w:t>
            </w:r>
            <w:r>
              <w:rPr>
                <w:rFonts w:ascii="TimesNewRoman" w:hAnsi="TimesNewRoman" w:cs="TimesNewRoman"/>
                <w:sz w:val="16"/>
                <w:szCs w:val="16"/>
              </w:rPr>
              <w:t>5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0,4-0,8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0,6</w:t>
            </w:r>
          </w:p>
        </w:tc>
      </w:tr>
      <w:tr w:rsidR="00963053" w:rsidTr="0007181B">
        <w:tc>
          <w:tcPr>
            <w:tcW w:w="1728" w:type="dxa"/>
            <w:vMerge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mg</w:t>
            </w:r>
            <w:proofErr w:type="gramEnd"/>
            <w:r>
              <w:rPr>
                <w:rFonts w:ascii="TimesNewRoman" w:hAnsi="TimesNewRoman" w:cs="TimesNewRoman"/>
              </w:rPr>
              <w:t xml:space="preserve"> VSS(ya da UAKM)</w:t>
            </w:r>
          </w:p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/mg KOI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0,25-0,4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0,4</w:t>
            </w:r>
          </w:p>
        </w:tc>
      </w:tr>
      <w:tr w:rsidR="00963053" w:rsidTr="0007181B">
        <w:tc>
          <w:tcPr>
            <w:tcW w:w="172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spellStart"/>
            <w:proofErr w:type="gramStart"/>
            <w:r>
              <w:rPr>
                <w:rFonts w:ascii="TimesNewRoman" w:hAnsi="TimesNewRoman" w:cs="TimesNewRoman"/>
              </w:rPr>
              <w:t>k</w:t>
            </w:r>
            <w:r w:rsidRPr="00500586">
              <w:rPr>
                <w:rFonts w:ascii="TimesNewRoman" w:hAnsi="TimesNewRoman" w:cs="TimesNewRoman"/>
                <w:vertAlign w:val="subscript"/>
              </w:rPr>
              <w:t>d</w:t>
            </w:r>
            <w:proofErr w:type="spellEnd"/>
            <w:proofErr w:type="gramEnd"/>
          </w:p>
        </w:tc>
        <w:tc>
          <w:tcPr>
            <w:tcW w:w="2878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proofErr w:type="gramStart"/>
            <w:r>
              <w:rPr>
                <w:rFonts w:ascii="TimesNewRoman" w:hAnsi="TimesNewRoman" w:cs="TimesNewRoman"/>
              </w:rPr>
              <w:t>gün</w:t>
            </w:r>
            <w:proofErr w:type="gramEnd"/>
            <w:r w:rsidRPr="00500586">
              <w:rPr>
                <w:rFonts w:ascii="TimesNewRoman" w:hAnsi="TimesNewRoman" w:cs="TimesNewRoman"/>
                <w:vertAlign w:val="superscript"/>
              </w:rPr>
              <w:t>-1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0,04-0,075</w:t>
            </w:r>
          </w:p>
        </w:tc>
        <w:tc>
          <w:tcPr>
            <w:tcW w:w="2303" w:type="dxa"/>
          </w:tcPr>
          <w:p w:rsidR="00963053" w:rsidRDefault="00963053" w:rsidP="0007181B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0,06</w:t>
            </w:r>
          </w:p>
        </w:tc>
      </w:tr>
    </w:tbl>
    <w:p w:rsidR="00963053" w:rsidRDefault="00963053" w:rsidP="00963053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</w:rPr>
      </w:pPr>
    </w:p>
    <w:p w:rsidR="00963053" w:rsidRDefault="00963053" w:rsidP="00963053">
      <w:pPr>
        <w:autoSpaceDE w:val="0"/>
        <w:autoSpaceDN w:val="0"/>
        <w:adjustRightInd w:val="0"/>
        <w:spacing w:line="360" w:lineRule="auto"/>
        <w:jc w:val="both"/>
      </w:pPr>
    </w:p>
    <w:p w:rsidR="00744DA6" w:rsidRDefault="00744DA6"/>
    <w:sectPr w:rsidR="0074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3D"/>
    <w:rsid w:val="0032733D"/>
    <w:rsid w:val="00744DA6"/>
    <w:rsid w:val="00963053"/>
    <w:rsid w:val="00D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55BB"/>
  <w15:chartTrackingRefBased/>
  <w15:docId w15:val="{D39F2AA9-415D-47C1-86D9-E65DE74D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63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3</cp:revision>
  <dcterms:created xsi:type="dcterms:W3CDTF">2017-09-29T10:41:00Z</dcterms:created>
  <dcterms:modified xsi:type="dcterms:W3CDTF">2017-09-29T11:18:00Z</dcterms:modified>
</cp:coreProperties>
</file>