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46A6" w:rsidP="0077354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BAD 228-BADMİNTON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3AA6" w:rsidRDefault="00E73AA6" w:rsidP="00E73AA6">
            <w:pPr>
              <w:pStyle w:val="DersBilgileri"/>
              <w:ind w:left="0"/>
              <w:rPr>
                <w:rFonts w:cs="Arial"/>
                <w:szCs w:val="16"/>
              </w:rPr>
            </w:pPr>
            <w:proofErr w:type="gramStart"/>
            <w:r>
              <w:rPr>
                <w:rFonts w:cs="Arial"/>
                <w:szCs w:val="16"/>
              </w:rPr>
              <w:t>Öğret.Gör</w:t>
            </w:r>
            <w:proofErr w:type="gramEnd"/>
            <w:r>
              <w:rPr>
                <w:rFonts w:cs="Arial"/>
                <w:szCs w:val="16"/>
              </w:rPr>
              <w:t>.Murat GÖROĞLU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7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7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7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146A6" w:rsidP="0077354C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Badminton sporunun tarihsel gelişimi: Dünyada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badminton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, Türkiye`de badminton, Badminton sporunda kullanılan malzemeler: badminton saha ve filesi, badminton direkleri, raket, top, giyim, ayakkabı, yardımcı malzemeler, Badmintonda vuruş ve koşu teknikleri: raket tutuş, temel duruş pozisyonu; vuruş bölgeleri ve vuruş çeşitleri: yüksek servis, kısa servis,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swip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servis, başın üstünden smaç,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forehand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el üstü vuruş, başın sol üstünden smaç,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backhand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el üstü vuruş,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forehand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el altı vuruş,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backhand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el altı vuruş,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drive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drop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, filede oyun; koşu yönleri ve teknikleri; vuruş ve koşu tekniklerinin öğretim metodu, Taktik.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46A6" w:rsidP="0077354C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Dersin amacı öğrencilere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badminton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teknik becerilerinin öğretimi ve uygulanması, teknik hareketlerin öğretimi konusunda temel bilgileri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-HAFTA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C796B" w:rsidRPr="0077354C" w:rsidRDefault="00D146A6" w:rsidP="00D146A6">
            <w:pPr>
              <w:pStyle w:val="Kaynakca"/>
              <w:ind w:left="0" w:firstLine="0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bedenegitimci.org/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badminton.gov.trGÜLMEZ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İrfan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, (2007), Her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Yönü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ile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Badminton, Ankara KALE,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Rasim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, (2011),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Okullarda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ve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Kulüplerde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Badminton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Teknik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ve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Taktik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Öğretim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, Ankara, Nobel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Yayıncılık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>meb</w:t>
            </w:r>
            <w:proofErr w:type="spellEnd"/>
            <w:r>
              <w:rPr>
                <w:rFonts w:ascii="MinionPro-Regular" w:eastAsiaTheme="minorHAnsi" w:hAnsi="MinionPro-Regular" w:cs="MinionPro-Regular"/>
                <w:sz w:val="22"/>
                <w:szCs w:val="22"/>
                <w:lang w:eastAsia="en-US"/>
              </w:rPr>
              <w:t xml:space="preserve">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46A6"/>
    <w:sectPr w:rsidR="00EB0AE2" w:rsidSect="0077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E65E3"/>
    <w:rsid w:val="00434F43"/>
    <w:rsid w:val="0077354C"/>
    <w:rsid w:val="00776406"/>
    <w:rsid w:val="00832BE3"/>
    <w:rsid w:val="00AC796B"/>
    <w:rsid w:val="00BC32DD"/>
    <w:rsid w:val="00D146A6"/>
    <w:rsid w:val="00E7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2020-05-09T10:50:00Z</dcterms:created>
  <dcterms:modified xsi:type="dcterms:W3CDTF">2020-05-09T10:50:00Z</dcterms:modified>
</cp:coreProperties>
</file>