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4E" w:rsidRPr="003E214E" w:rsidRDefault="003E214E" w:rsidP="003E214E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textAlignment w:val="baseline"/>
        <w:rPr>
          <w:rFonts w:ascii="Microsoft Uighur" w:hAnsi="Microsoft Uighur" w:cs="Microsoft Uighur"/>
          <w:sz w:val="44"/>
          <w:szCs w:val="44"/>
        </w:rPr>
      </w:pP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  <w:lang w:bidi="fa-IR"/>
        </w:rPr>
        <w:t>۱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</w:rPr>
        <w:t>-  </w:t>
      </w:r>
      <w:r>
        <w:rPr>
          <w:rFonts w:ascii="Microsoft Uighur" w:hAnsi="Microsoft Uighur" w:cs="Microsoft Uighur" w:hint="cs"/>
          <w:sz w:val="44"/>
          <w:szCs w:val="44"/>
          <w:bdr w:val="none" w:sz="0" w:space="0" w:color="auto" w:frame="1"/>
          <w:rtl/>
        </w:rPr>
        <w:t xml:space="preserve"> </w:t>
      </w:r>
      <w:r>
        <w:rPr>
          <w:rFonts w:ascii="Microsoft Uighur" w:hAnsi="Microsoft Uighur" w:cs="Microsoft Uighur"/>
          <w:sz w:val="44"/>
          <w:szCs w:val="44"/>
          <w:bdr w:val="none" w:sz="0" w:space="0" w:color="auto" w:frame="1"/>
        </w:rPr>
        <w:t xml:space="preserve"> 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براون ، ادوارد؛ </w:t>
      </w:r>
      <w:r w:rsidRPr="003E214E">
        <w:rPr>
          <w:rStyle w:val="Gl"/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تاریخ ادبی ایران ، از سعدی تا جامی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؛ ترجمه و حواشی علی اصغر حکمت ، چاپ دوم ، تهران : کتابخانه  ابن سینا، 1339</w:t>
      </w:r>
    </w:p>
    <w:p w:rsidR="003E214E" w:rsidRPr="003E214E" w:rsidRDefault="003E214E" w:rsidP="003E214E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textAlignment w:val="baseline"/>
        <w:rPr>
          <w:rFonts w:ascii="Microsoft Uighur" w:hAnsi="Microsoft Uighur" w:cs="Microsoft Uighur"/>
          <w:sz w:val="44"/>
          <w:szCs w:val="44"/>
        </w:rPr>
      </w:pP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  <w:lang w:bidi="fa-IR"/>
        </w:rPr>
        <w:t>۲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</w:rPr>
        <w:t>- </w:t>
      </w:r>
      <w:r>
        <w:rPr>
          <w:rFonts w:ascii="Microsoft Uighur" w:hAnsi="Microsoft Uighur" w:cs="Microsoft Uighur" w:hint="cs"/>
          <w:sz w:val="44"/>
          <w:szCs w:val="44"/>
          <w:bdr w:val="none" w:sz="0" w:space="0" w:color="auto" w:frame="1"/>
          <w:rtl/>
        </w:rPr>
        <w:t xml:space="preserve"> 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میرجعفری ، حسین؛ </w:t>
      </w:r>
      <w:r w:rsidRPr="003E214E">
        <w:rPr>
          <w:rStyle w:val="Gl"/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تاریخ تحولات سیاسی اجتماعی اقتصادی فرهنگی ایران در دوره تیموریان و ترکمانان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 ؛ چاپ دوم ، تهران : سمت و اصفهان : دانشگاه اصفهان، 1379</w:t>
      </w:r>
    </w:p>
    <w:p w:rsidR="003E214E" w:rsidRPr="003E214E" w:rsidRDefault="003E214E" w:rsidP="003E214E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textAlignment w:val="baseline"/>
        <w:rPr>
          <w:rFonts w:ascii="Microsoft Uighur" w:hAnsi="Microsoft Uighur" w:cs="Microsoft Uighur"/>
          <w:sz w:val="44"/>
          <w:szCs w:val="44"/>
        </w:rPr>
      </w:pP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  <w:lang w:bidi="fa-IR"/>
        </w:rPr>
        <w:t>۳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</w:rPr>
        <w:t>- </w:t>
      </w:r>
      <w:r>
        <w:rPr>
          <w:rFonts w:ascii="Microsoft Uighur" w:hAnsi="Microsoft Uighur" w:cs="Microsoft Uighur" w:hint="cs"/>
          <w:sz w:val="44"/>
          <w:szCs w:val="44"/>
          <w:bdr w:val="none" w:sz="0" w:space="0" w:color="auto" w:frame="1"/>
          <w:rtl/>
        </w:rPr>
        <w:t xml:space="preserve"> 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نوایی، میرنظام الدین علیشیر؛ </w:t>
      </w:r>
      <w:r w:rsidRPr="003E214E">
        <w:rPr>
          <w:rStyle w:val="Gl"/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مجالس النفائس در تذکره شعرا قرن نهم هجری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 ؛ به سعی و اهتمام علی اصغر حکمت ، تهران : چاپخانه بانک ملی ایران ، 1323</w:t>
      </w:r>
    </w:p>
    <w:p w:rsidR="003E214E" w:rsidRPr="003E214E" w:rsidRDefault="003E214E" w:rsidP="003E214E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textAlignment w:val="baseline"/>
        <w:rPr>
          <w:rFonts w:ascii="Microsoft Uighur" w:hAnsi="Microsoft Uighur" w:cs="Microsoft Uighur"/>
          <w:sz w:val="44"/>
          <w:szCs w:val="44"/>
        </w:rPr>
      </w:pP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  <w:lang w:bidi="fa-IR"/>
        </w:rPr>
        <w:t>۴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</w:rPr>
        <w:t>-  </w:t>
      </w:r>
      <w:r>
        <w:rPr>
          <w:rFonts w:ascii="Microsoft Uighur" w:hAnsi="Microsoft Uighur" w:cs="Microsoft Uighur" w:hint="cs"/>
          <w:sz w:val="44"/>
          <w:szCs w:val="44"/>
          <w:bdr w:val="none" w:sz="0" w:space="0" w:color="auto" w:frame="1"/>
          <w:rtl/>
        </w:rPr>
        <w:t xml:space="preserve"> </w:t>
      </w:r>
      <w:bookmarkStart w:id="0" w:name="_GoBack"/>
      <w:bookmarkEnd w:id="0"/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نفیسی ، سعید ؛</w:t>
      </w:r>
      <w:r w:rsidRPr="003E214E">
        <w:rPr>
          <w:rStyle w:val="Gl"/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 تاریخ نظم و نثر در ایران و در زبان فارسی تا پایان قرن دهم هجری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، تهران ، فروغی ، 1344</w:t>
      </w:r>
    </w:p>
    <w:p w:rsidR="003E214E" w:rsidRPr="003E214E" w:rsidRDefault="003E214E" w:rsidP="003E214E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textAlignment w:val="baseline"/>
        <w:rPr>
          <w:rFonts w:ascii="Microsoft Uighur" w:hAnsi="Microsoft Uighur" w:cs="Microsoft Uighur"/>
          <w:sz w:val="44"/>
          <w:szCs w:val="44"/>
        </w:rPr>
      </w:pP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  <w:lang w:bidi="fa-IR"/>
        </w:rPr>
        <w:t>۵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</w:rPr>
        <w:t>- 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یارشاطر ، احسان ؛ </w:t>
      </w:r>
      <w:r w:rsidRPr="003E214E">
        <w:rPr>
          <w:rStyle w:val="Gl"/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شعر فارسی در عهد شاهرخ</w:t>
      </w:r>
      <w:r w:rsidRPr="003E214E">
        <w:rPr>
          <w:rFonts w:ascii="Microsoft Uighur" w:hAnsi="Microsoft Uighur" w:cs="Microsoft Uighur"/>
          <w:sz w:val="44"/>
          <w:szCs w:val="44"/>
          <w:bdr w:val="none" w:sz="0" w:space="0" w:color="auto" w:frame="1"/>
          <w:rtl/>
        </w:rPr>
        <w:t> ؛ چاپ دوم ، تهران : دانشگاه تهران، 1383</w:t>
      </w:r>
    </w:p>
    <w:p w:rsidR="00C72868" w:rsidRPr="003E214E" w:rsidRDefault="00C72868" w:rsidP="003E214E">
      <w:pPr>
        <w:bidi/>
        <w:spacing w:line="360" w:lineRule="auto"/>
        <w:jc w:val="both"/>
        <w:rPr>
          <w:rFonts w:ascii="Microsoft Uighur" w:hAnsi="Microsoft Uighur" w:cs="Microsoft Uighur"/>
          <w:sz w:val="44"/>
          <w:szCs w:val="44"/>
        </w:rPr>
      </w:pPr>
    </w:p>
    <w:sectPr w:rsidR="00C72868" w:rsidRPr="003E2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4E"/>
    <w:rsid w:val="003E214E"/>
    <w:rsid w:val="00C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093D"/>
  <w15:chartTrackingRefBased/>
  <w15:docId w15:val="{B33BAE46-A049-484F-8F39-115449B6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2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Hicabi Kirlangic</dc:creator>
  <cp:keywords/>
  <dc:description/>
  <cp:lastModifiedBy>Hicabi Kirlangic</cp:lastModifiedBy>
  <cp:revision>1</cp:revision>
  <dcterms:created xsi:type="dcterms:W3CDTF">2020-05-09T14:56:00Z</dcterms:created>
  <dcterms:modified xsi:type="dcterms:W3CDTF">2020-05-09T14:58:00Z</dcterms:modified>
</cp:coreProperties>
</file>