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COURS 10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termes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constitutifs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verbale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. R.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Jakobson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Contexte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Destinateur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  <w:t>&lt; -</w:t>
      </w:r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  <w:t>Message</w:t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  <w:t>- &gt;</w:t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Destinataire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Contact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r w:rsidRPr="002F372E"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Code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Théorie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l’information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rapports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information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fréquence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coût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intéressent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linguites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Quel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fréquence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terme et ses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emplois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contextes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différents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(et ses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différents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)?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Un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caractérise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quantité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moeynne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d’informations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Un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privé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1. Pas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d’informations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2. Trop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d’informations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Exemples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Théorie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l’information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dynamique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Toute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modification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fréquence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unité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entraîne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variation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son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efficacité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laisse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prévoir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modification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conditions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réelles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fonctionnement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slangues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besoins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)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tendent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freiner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cette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évolution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.” (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Martinet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A.,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Eléments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générale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., 6.13,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, p.33.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fonctions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– 1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Représentation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lastRenderedPageBreak/>
        <w:t>Langage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fonctions2: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destinateur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expressive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destinataire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conative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message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poétique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contacte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phatique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contexte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référentielle</w:t>
      </w:r>
      <w:proofErr w:type="spellEnd"/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code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métalinguistique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morphèmes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phatiques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“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morphèmes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phatiques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morphèmes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lesquels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personnes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renseignent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mutuellement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sur un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cntact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dialogue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prendre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à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prolonger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rompre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sémantisme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commun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tous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désigné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ici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par 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trait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(CONTACT).”</w:t>
      </w:r>
    </w:p>
    <w:p w:rsidR="00D72B02" w:rsidRPr="002F372E" w:rsidRDefault="00D72B02" w:rsidP="00D72B0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Weinrich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Harald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textuelle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Didier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Hatier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Paris, 1989, p.495.  </w:t>
      </w:r>
    </w:p>
    <w:p w:rsidR="00D72B02" w:rsidRPr="002F372E" w:rsidRDefault="00D72B02" w:rsidP="00D72B02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L’Entrée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dialogue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Hé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vous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là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-bas,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venez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par-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ici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instant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!”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Holà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taxi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vous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êtes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libre?”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Allô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?”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Dites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, …”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Alors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…,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peu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…”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…</w:t>
      </w:r>
    </w:p>
    <w:p w:rsidR="00D72B02" w:rsidRPr="002F372E" w:rsidRDefault="00D72B02" w:rsidP="00D72B02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continuation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dialogue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“ah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“eh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sûr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sûr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continu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continuez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vas</w:t>
      </w:r>
      <w:proofErr w:type="spellEnd"/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>-y/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allez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-y”,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vrai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très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parfait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”.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ah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sûr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”.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oui</w:t>
      </w:r>
      <w:proofErr w:type="spellEnd"/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>?”,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?”, “ah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?”, “ah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?”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puis</w:t>
      </w:r>
      <w:proofErr w:type="spellEnd"/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“et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puis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“et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puis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alors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”.</w:t>
      </w:r>
    </w:p>
    <w:p w:rsidR="00D72B02" w:rsidRPr="002F372E" w:rsidRDefault="00D72B02" w:rsidP="00D72B02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sortie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dialogue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bref</w:t>
      </w:r>
      <w:proofErr w:type="spellEnd"/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“bon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bref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enfin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“en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somme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terminer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“en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conlusion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voilà</w:t>
      </w:r>
      <w:proofErr w:type="spellEnd"/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voilà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“eh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voilà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j’ai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terminé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fini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suffit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ouf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bon”,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entendu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soit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d’accord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tant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mieux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“bravo”,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y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”.</w:t>
      </w:r>
    </w:p>
    <w:p w:rsidR="00D72B02" w:rsidRPr="002F372E" w:rsidRDefault="00D72B02" w:rsidP="00D72B02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lastRenderedPageBreak/>
        <w:t>L’approbation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recherche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d’approbation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>hein</w:t>
      </w:r>
      <w:proofErr w:type="spellEnd"/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>?”,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quoi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peut-être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quand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meme”,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meme” .</w:t>
      </w:r>
    </w:p>
    <w:p w:rsidR="00D72B02" w:rsidRPr="002F372E" w:rsidRDefault="00D72B02" w:rsidP="00D72B02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désaccord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et ses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nuances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F372E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gramStart"/>
      <w:r w:rsidRPr="002F372E">
        <w:rPr>
          <w:rFonts w:ascii="Times New Roman" w:hAnsi="Times New Roman" w:cs="Times New Roman"/>
          <w:sz w:val="28"/>
          <w:szCs w:val="28"/>
          <w:lang w:val="tr-TR"/>
        </w:rPr>
        <w:t>hum</w:t>
      </w:r>
      <w:proofErr w:type="gramEnd"/>
      <w:r w:rsidRPr="002F372E">
        <w:rPr>
          <w:rFonts w:ascii="Times New Roman" w:hAnsi="Times New Roman" w:cs="Times New Roman"/>
          <w:sz w:val="28"/>
          <w:szCs w:val="28"/>
          <w:lang w:val="tr-TR"/>
        </w:rPr>
        <w:t>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sait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?”, “ah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!”,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!”, “ah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jamais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vie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!”,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alors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là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pas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question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“ah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!”,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!”,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oui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sûr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seulement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…”, “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attention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!”,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attention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”, “ah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ça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2F372E">
        <w:rPr>
          <w:rFonts w:ascii="Times New Roman" w:hAnsi="Times New Roman" w:cs="Times New Roman"/>
          <w:sz w:val="28"/>
          <w:szCs w:val="28"/>
          <w:lang w:val="tr-TR"/>
        </w:rPr>
        <w:t>exemple</w:t>
      </w:r>
      <w:proofErr w:type="spellEnd"/>
      <w:r w:rsidRPr="002F372E">
        <w:rPr>
          <w:rFonts w:ascii="Times New Roman" w:hAnsi="Times New Roman" w:cs="Times New Roman"/>
          <w:sz w:val="28"/>
          <w:szCs w:val="28"/>
          <w:lang w:val="tr-TR"/>
        </w:rPr>
        <w:t>!”.</w:t>
      </w:r>
    </w:p>
    <w:p w:rsidR="00D72B02" w:rsidRPr="002F372E" w:rsidRDefault="00D72B02" w:rsidP="00D72B02">
      <w:pPr>
        <w:pStyle w:val="ListeParagraf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BF7BBB" w:rsidRPr="002F372E" w:rsidRDefault="00BF7BBB" w:rsidP="00D72B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7BBB" w:rsidRPr="002F3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EE"/>
    <w:multiLevelType w:val="hybridMultilevel"/>
    <w:tmpl w:val="9D1C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4D36"/>
    <w:multiLevelType w:val="hybridMultilevel"/>
    <w:tmpl w:val="F0B87A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765B8"/>
    <w:multiLevelType w:val="hybridMultilevel"/>
    <w:tmpl w:val="565ED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297329"/>
    <w:rsid w:val="002F372E"/>
    <w:rsid w:val="00433FE2"/>
    <w:rsid w:val="004D3FC7"/>
    <w:rsid w:val="00516582"/>
    <w:rsid w:val="005B5170"/>
    <w:rsid w:val="00605442"/>
    <w:rsid w:val="007A077D"/>
    <w:rsid w:val="009909CC"/>
    <w:rsid w:val="00A51F5C"/>
    <w:rsid w:val="00BF7BBB"/>
    <w:rsid w:val="00D7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02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2020-05-10T05:37:00Z</dcterms:created>
  <dcterms:modified xsi:type="dcterms:W3CDTF">2020-05-10T05:37:00Z</dcterms:modified>
</cp:coreProperties>
</file>