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35EA"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1AA220E9" w14:textId="77777777" w:rsidR="00BC32DD" w:rsidRPr="001A2552" w:rsidRDefault="00BC32DD" w:rsidP="00BC32DD">
      <w:pPr>
        <w:jc w:val="center"/>
        <w:rPr>
          <w:b/>
          <w:sz w:val="16"/>
          <w:szCs w:val="16"/>
        </w:rPr>
      </w:pPr>
      <w:r w:rsidRPr="001A2552">
        <w:rPr>
          <w:b/>
          <w:sz w:val="16"/>
          <w:szCs w:val="16"/>
        </w:rPr>
        <w:t>Açık Ders Malzemeleri</w:t>
      </w:r>
    </w:p>
    <w:p w14:paraId="58D54862" w14:textId="77777777" w:rsidR="00BC32DD" w:rsidRDefault="00BC32DD" w:rsidP="00BC32DD">
      <w:pPr>
        <w:pStyle w:val="Basliklar"/>
        <w:jc w:val="center"/>
        <w:rPr>
          <w:sz w:val="16"/>
          <w:szCs w:val="16"/>
        </w:rPr>
      </w:pPr>
    </w:p>
    <w:p w14:paraId="0946CB38" w14:textId="77777777" w:rsidR="00BC32DD" w:rsidRPr="001A2552" w:rsidRDefault="00BC32DD" w:rsidP="00BC32DD">
      <w:pPr>
        <w:pStyle w:val="Basliklar"/>
        <w:jc w:val="center"/>
        <w:rPr>
          <w:sz w:val="16"/>
          <w:szCs w:val="16"/>
        </w:rPr>
      </w:pPr>
      <w:r>
        <w:rPr>
          <w:sz w:val="16"/>
          <w:szCs w:val="16"/>
        </w:rPr>
        <w:t>Ders izlence Formu</w:t>
      </w:r>
    </w:p>
    <w:p w14:paraId="7BEEE13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AC570B" w14:paraId="0B33E9C3" w14:textId="77777777" w:rsidTr="00AC3B9F">
        <w:trPr>
          <w:jc w:val="center"/>
        </w:trPr>
        <w:tc>
          <w:tcPr>
            <w:tcW w:w="2745" w:type="dxa"/>
            <w:vAlign w:val="center"/>
          </w:tcPr>
          <w:p w14:paraId="164395FD" w14:textId="77777777" w:rsidR="00BC32DD" w:rsidRPr="00AC570B" w:rsidRDefault="00BC32DD" w:rsidP="00AC3B9F">
            <w:pPr>
              <w:pStyle w:val="DersBasliklar"/>
              <w:rPr>
                <w:sz w:val="18"/>
                <w:szCs w:val="18"/>
              </w:rPr>
            </w:pPr>
            <w:r w:rsidRPr="00AC570B">
              <w:rPr>
                <w:sz w:val="18"/>
                <w:szCs w:val="18"/>
              </w:rPr>
              <w:t>Dersin Kodu ve İsmi</w:t>
            </w:r>
          </w:p>
        </w:tc>
        <w:tc>
          <w:tcPr>
            <w:tcW w:w="6068" w:type="dxa"/>
          </w:tcPr>
          <w:p w14:paraId="39DDC0A2" w14:textId="47496946" w:rsidR="00BC32DD" w:rsidRPr="00AC570B" w:rsidRDefault="00E945E3" w:rsidP="00E945E3">
            <w:pPr>
              <w:pStyle w:val="BodyText"/>
              <w:rPr>
                <w:sz w:val="18"/>
                <w:szCs w:val="18"/>
              </w:rPr>
            </w:pPr>
            <w:r w:rsidRPr="00E945E3">
              <w:t>PRT 202 Asur Ticaret Kolonileri Çağı'nda Anadolu Arkeolojisi</w:t>
            </w:r>
          </w:p>
        </w:tc>
      </w:tr>
      <w:tr w:rsidR="00BC32DD" w:rsidRPr="00AC570B" w14:paraId="22AFCF98" w14:textId="77777777" w:rsidTr="00AC3B9F">
        <w:trPr>
          <w:jc w:val="center"/>
        </w:trPr>
        <w:tc>
          <w:tcPr>
            <w:tcW w:w="2745" w:type="dxa"/>
            <w:vAlign w:val="center"/>
          </w:tcPr>
          <w:p w14:paraId="619B8853" w14:textId="77777777" w:rsidR="00BC32DD" w:rsidRPr="00AC570B" w:rsidRDefault="00BC32DD" w:rsidP="00AC3B9F">
            <w:pPr>
              <w:pStyle w:val="DersBasliklar"/>
              <w:rPr>
                <w:sz w:val="18"/>
                <w:szCs w:val="18"/>
              </w:rPr>
            </w:pPr>
            <w:r w:rsidRPr="00AC570B">
              <w:rPr>
                <w:sz w:val="18"/>
                <w:szCs w:val="18"/>
              </w:rPr>
              <w:t>Dersin Sorumlusu</w:t>
            </w:r>
          </w:p>
        </w:tc>
        <w:tc>
          <w:tcPr>
            <w:tcW w:w="6068" w:type="dxa"/>
          </w:tcPr>
          <w:p w14:paraId="26C9B19E" w14:textId="77777777" w:rsidR="00BC32DD" w:rsidRPr="00AC570B" w:rsidRDefault="00AC3B9F" w:rsidP="00AC3B9F">
            <w:pPr>
              <w:pStyle w:val="DersBilgileri"/>
              <w:rPr>
                <w:sz w:val="18"/>
                <w:szCs w:val="18"/>
              </w:rPr>
            </w:pPr>
            <w:r w:rsidRPr="00AC570B">
              <w:rPr>
                <w:sz w:val="18"/>
                <w:szCs w:val="18"/>
              </w:rPr>
              <w:t>Prof.Dr. Fikri Kulakoğlu</w:t>
            </w:r>
          </w:p>
        </w:tc>
      </w:tr>
      <w:tr w:rsidR="00BC32DD" w:rsidRPr="00AC570B" w14:paraId="5F379C38" w14:textId="77777777" w:rsidTr="00AC3B9F">
        <w:trPr>
          <w:jc w:val="center"/>
        </w:trPr>
        <w:tc>
          <w:tcPr>
            <w:tcW w:w="2745" w:type="dxa"/>
            <w:vAlign w:val="center"/>
          </w:tcPr>
          <w:p w14:paraId="4DBBC1DA" w14:textId="77777777" w:rsidR="00BC32DD" w:rsidRPr="00AC570B" w:rsidRDefault="00BC32DD" w:rsidP="00AC3B9F">
            <w:pPr>
              <w:pStyle w:val="DersBasliklar"/>
              <w:rPr>
                <w:sz w:val="18"/>
                <w:szCs w:val="18"/>
              </w:rPr>
            </w:pPr>
            <w:r w:rsidRPr="00AC570B">
              <w:rPr>
                <w:sz w:val="18"/>
                <w:szCs w:val="18"/>
              </w:rPr>
              <w:t>Dersin Düzeyi</w:t>
            </w:r>
          </w:p>
        </w:tc>
        <w:tc>
          <w:tcPr>
            <w:tcW w:w="6068" w:type="dxa"/>
          </w:tcPr>
          <w:p w14:paraId="3708948C" w14:textId="77777777" w:rsidR="00BC32DD" w:rsidRPr="00AC570B" w:rsidRDefault="00AC3B9F" w:rsidP="00AC3B9F">
            <w:pPr>
              <w:pStyle w:val="DersBilgileri"/>
              <w:rPr>
                <w:sz w:val="18"/>
                <w:szCs w:val="18"/>
              </w:rPr>
            </w:pPr>
            <w:r w:rsidRPr="00AC570B">
              <w:rPr>
                <w:sz w:val="18"/>
                <w:szCs w:val="18"/>
              </w:rPr>
              <w:t>Lisans</w:t>
            </w:r>
          </w:p>
        </w:tc>
      </w:tr>
      <w:tr w:rsidR="00BC32DD" w:rsidRPr="00AC570B" w14:paraId="7C1AC89F" w14:textId="77777777" w:rsidTr="00AC3B9F">
        <w:trPr>
          <w:jc w:val="center"/>
        </w:trPr>
        <w:tc>
          <w:tcPr>
            <w:tcW w:w="2745" w:type="dxa"/>
            <w:vAlign w:val="center"/>
          </w:tcPr>
          <w:p w14:paraId="7370F69E" w14:textId="77777777" w:rsidR="00BC32DD" w:rsidRPr="00AC570B" w:rsidRDefault="00BC32DD" w:rsidP="00AC3B9F">
            <w:pPr>
              <w:pStyle w:val="DersBasliklar"/>
              <w:rPr>
                <w:sz w:val="18"/>
                <w:szCs w:val="18"/>
              </w:rPr>
            </w:pPr>
            <w:r w:rsidRPr="00AC570B">
              <w:rPr>
                <w:sz w:val="18"/>
                <w:szCs w:val="18"/>
              </w:rPr>
              <w:t>Dersin Kredisi</w:t>
            </w:r>
          </w:p>
        </w:tc>
        <w:tc>
          <w:tcPr>
            <w:tcW w:w="6068" w:type="dxa"/>
          </w:tcPr>
          <w:p w14:paraId="4FB20947" w14:textId="0719C7F2" w:rsidR="00BC32DD" w:rsidRPr="00AC570B" w:rsidRDefault="00AC3B9F" w:rsidP="00E33C44">
            <w:pPr>
              <w:pStyle w:val="DersBilgileri"/>
              <w:rPr>
                <w:sz w:val="18"/>
                <w:szCs w:val="18"/>
              </w:rPr>
            </w:pPr>
            <w:r w:rsidRPr="00AC570B">
              <w:rPr>
                <w:sz w:val="18"/>
                <w:szCs w:val="18"/>
              </w:rPr>
              <w:t>Ulusal 4/AKTS</w:t>
            </w:r>
            <w:r w:rsidR="00F32658" w:rsidRPr="00AC570B">
              <w:rPr>
                <w:sz w:val="18"/>
                <w:szCs w:val="18"/>
              </w:rPr>
              <w:t xml:space="preserve"> </w:t>
            </w:r>
            <w:r w:rsidR="00E33C44">
              <w:rPr>
                <w:sz w:val="18"/>
                <w:szCs w:val="18"/>
              </w:rPr>
              <w:t>8</w:t>
            </w:r>
          </w:p>
        </w:tc>
      </w:tr>
      <w:tr w:rsidR="00BC32DD" w:rsidRPr="00AC570B" w14:paraId="362668BA" w14:textId="77777777" w:rsidTr="00AC3B9F">
        <w:trPr>
          <w:jc w:val="center"/>
        </w:trPr>
        <w:tc>
          <w:tcPr>
            <w:tcW w:w="2745" w:type="dxa"/>
            <w:vAlign w:val="center"/>
          </w:tcPr>
          <w:p w14:paraId="2A8F882E" w14:textId="77777777" w:rsidR="00BC32DD" w:rsidRPr="00AC570B" w:rsidRDefault="00BC32DD" w:rsidP="00AC3B9F">
            <w:pPr>
              <w:pStyle w:val="DersBasliklar"/>
              <w:rPr>
                <w:sz w:val="18"/>
                <w:szCs w:val="18"/>
              </w:rPr>
            </w:pPr>
            <w:r w:rsidRPr="00AC570B">
              <w:rPr>
                <w:sz w:val="18"/>
                <w:szCs w:val="18"/>
              </w:rPr>
              <w:t>Dersin Türü</w:t>
            </w:r>
          </w:p>
        </w:tc>
        <w:tc>
          <w:tcPr>
            <w:tcW w:w="6068" w:type="dxa"/>
          </w:tcPr>
          <w:p w14:paraId="5F680F78" w14:textId="6721E3A7" w:rsidR="00BC32DD" w:rsidRPr="00AC570B" w:rsidRDefault="00032228" w:rsidP="00AC3B9F">
            <w:pPr>
              <w:pStyle w:val="DersBilgileri"/>
              <w:rPr>
                <w:sz w:val="18"/>
                <w:szCs w:val="18"/>
              </w:rPr>
            </w:pPr>
            <w:r w:rsidRPr="00AC570B">
              <w:rPr>
                <w:sz w:val="18"/>
                <w:szCs w:val="18"/>
              </w:rPr>
              <w:t>Teorik</w:t>
            </w:r>
          </w:p>
        </w:tc>
      </w:tr>
      <w:tr w:rsidR="00BC32DD" w:rsidRPr="00AC570B" w14:paraId="427B6529" w14:textId="77777777" w:rsidTr="00AC3B9F">
        <w:trPr>
          <w:jc w:val="center"/>
        </w:trPr>
        <w:tc>
          <w:tcPr>
            <w:tcW w:w="2745" w:type="dxa"/>
            <w:vAlign w:val="center"/>
          </w:tcPr>
          <w:p w14:paraId="7A8C8441" w14:textId="77777777" w:rsidR="00BC32DD" w:rsidRPr="00AC570B" w:rsidRDefault="00BC32DD" w:rsidP="00AC3B9F">
            <w:pPr>
              <w:pStyle w:val="DersBasliklar"/>
              <w:rPr>
                <w:sz w:val="18"/>
                <w:szCs w:val="18"/>
              </w:rPr>
            </w:pPr>
            <w:r w:rsidRPr="00AC570B">
              <w:rPr>
                <w:sz w:val="18"/>
                <w:szCs w:val="18"/>
              </w:rPr>
              <w:t>Dersin İçeriği</w:t>
            </w:r>
          </w:p>
        </w:tc>
        <w:tc>
          <w:tcPr>
            <w:tcW w:w="6068" w:type="dxa"/>
          </w:tcPr>
          <w:p w14:paraId="7BBAA5E6" w14:textId="061882B1" w:rsidR="00BC32DD" w:rsidRPr="00AC570B" w:rsidRDefault="00E945E3" w:rsidP="00E945E3">
            <w:pPr>
              <w:pStyle w:val="DersBilgileri"/>
              <w:rPr>
                <w:sz w:val="18"/>
                <w:szCs w:val="18"/>
              </w:rPr>
            </w:pPr>
            <w:r>
              <w:t>Kültepe Kazıları ışığında, Assur Ticaret Kolonileri Çağı arkeolojisi hakkındaki son keşif ve bilgiler anlatılmaktadır.</w:t>
            </w:r>
            <w:r>
              <w:br/>
              <w:t xml:space="preserve">M.Ö. II. Bin yılın ilk çeyreğinde, Anadolu ile K. Mezopotamya arasında çok kuvvetli ve yaygın bir ticaret ağı kurulmuştu. Bu ticaretin yönetim merkezi, Kuzey Mezopotamya’da, Aşağı Zab Nehrinin Dicle ile birleştiği yerin 25 km kuzeyindeki Asur Krallığı’nın başkenti Asur şehridir. </w:t>
            </w:r>
            <w:r>
              <w:br/>
              <w:t xml:space="preserve">Anadolu’daki zengin maden yatakları, tarım ve hayvan ürünlerinin çeşitliliği, komşu ülkelerce eskiden beri bilinmekteydi. Daha M.Ö. III. Binin son çeyreğinde, Akadlı tüccarların ticaret için, bugünkü Acemhöyük olarak lokalize edilen Burušhanda’ya kadar geldikleri yazılıdır. Ayrıca Kültepe-Kaniş’te yapılan kazılarda Anadolu-Mezopotamya ilişkilerinin arkeolojik kanıtları da bulunmuştur. </w:t>
            </w:r>
            <w:r>
              <w:br/>
              <w:t xml:space="preserve">Esası maden ve tekstil ticareti üzerine kurulu ticaret düzeninde, Anadolu'da bulunmayan kalay, gümüş-altın karşılığında Anadolu halkına satılmaktaydı. Hammadde olarak alınan yün de, "Babil modası"na uygun olarak Assur'da dokutulup, Anadolu insanına yine, gümüş ve altın karşılığında satılmaktaydı. Bu ticaret sisteminin Anadolu'daki merkezi Kültepe-Kaniş idi ve Kaniş’e getirilen mallar, Anadolu içlerine kadar dağıtılmaktaydı. </w:t>
            </w:r>
            <w:r>
              <w:br/>
              <w:t xml:space="preserve">Kültepe dışında, Boğazköy, Alişar, Acemhöyük, Konya Karahöyük de karuma sahip yerleşimlerdir. Ayrıca Kaman-Kalehöyük ve Kayalıpınar çivi yazılı tablet buluntusu veren merkezlerdendir. Acemhöyük’ün bulla ve etiketlerinde de çivi yazısıyla kısa notlar görülmektedir. </w:t>
            </w:r>
            <w:r>
              <w:br/>
            </w:r>
          </w:p>
        </w:tc>
      </w:tr>
      <w:tr w:rsidR="00BC32DD" w:rsidRPr="00AC570B" w14:paraId="4C4B378C" w14:textId="77777777" w:rsidTr="00AC3B9F">
        <w:trPr>
          <w:jc w:val="center"/>
        </w:trPr>
        <w:tc>
          <w:tcPr>
            <w:tcW w:w="2745" w:type="dxa"/>
            <w:vAlign w:val="center"/>
          </w:tcPr>
          <w:p w14:paraId="12E4B26F" w14:textId="77777777" w:rsidR="00BC32DD" w:rsidRPr="00AC570B" w:rsidRDefault="00BC32DD" w:rsidP="00AC3B9F">
            <w:pPr>
              <w:pStyle w:val="DersBasliklar"/>
              <w:rPr>
                <w:sz w:val="18"/>
                <w:szCs w:val="18"/>
              </w:rPr>
            </w:pPr>
            <w:r w:rsidRPr="00AC570B">
              <w:rPr>
                <w:sz w:val="18"/>
                <w:szCs w:val="18"/>
              </w:rPr>
              <w:t>Dersin Amacı</w:t>
            </w:r>
          </w:p>
        </w:tc>
        <w:tc>
          <w:tcPr>
            <w:tcW w:w="6068" w:type="dxa"/>
          </w:tcPr>
          <w:p w14:paraId="6A9E0C50" w14:textId="6BAC8BE0" w:rsidR="00FD4913" w:rsidRPr="00AC570B" w:rsidRDefault="00E945E3" w:rsidP="00FE2420">
            <w:pPr>
              <w:pStyle w:val="DersBilgileri"/>
              <w:rPr>
                <w:sz w:val="18"/>
                <w:szCs w:val="18"/>
              </w:rPr>
            </w:pPr>
            <w:r>
              <w:t>Bu ders kapsamında; Anadolu insanının yazıyı kullanmaya başladığı, dolayısıyla tarihi döneme girilen bu çağda, yazılı belgeler ve diğer arkeolojik kanıtlara dayanarak ekonomik, sosyal yapı, hukuk, inanç sistemleri ve kent dokuları incelenmektedir.</w:t>
            </w:r>
          </w:p>
        </w:tc>
      </w:tr>
      <w:tr w:rsidR="00BC32DD" w:rsidRPr="00AC570B" w14:paraId="284A1EC3" w14:textId="77777777" w:rsidTr="00AC3B9F">
        <w:trPr>
          <w:jc w:val="center"/>
        </w:trPr>
        <w:tc>
          <w:tcPr>
            <w:tcW w:w="2745" w:type="dxa"/>
            <w:vAlign w:val="center"/>
          </w:tcPr>
          <w:p w14:paraId="7C9ED191" w14:textId="77777777" w:rsidR="00BC32DD" w:rsidRPr="00AC570B" w:rsidRDefault="00BC32DD" w:rsidP="00AC3B9F">
            <w:pPr>
              <w:pStyle w:val="DersBasliklar"/>
              <w:rPr>
                <w:sz w:val="18"/>
                <w:szCs w:val="18"/>
              </w:rPr>
            </w:pPr>
            <w:r w:rsidRPr="00AC570B">
              <w:rPr>
                <w:sz w:val="18"/>
                <w:szCs w:val="18"/>
              </w:rPr>
              <w:t>Dersin Süresi</w:t>
            </w:r>
          </w:p>
        </w:tc>
        <w:tc>
          <w:tcPr>
            <w:tcW w:w="6068" w:type="dxa"/>
          </w:tcPr>
          <w:p w14:paraId="73DAB477" w14:textId="77777777" w:rsidR="00BC32DD" w:rsidRPr="00AC570B" w:rsidRDefault="00DA0E00" w:rsidP="00AC3B9F">
            <w:pPr>
              <w:pStyle w:val="DersBilgileri"/>
              <w:rPr>
                <w:sz w:val="18"/>
                <w:szCs w:val="18"/>
              </w:rPr>
            </w:pPr>
            <w:r w:rsidRPr="00AC570B">
              <w:rPr>
                <w:sz w:val="18"/>
                <w:szCs w:val="18"/>
              </w:rPr>
              <w:t>1 Yarıyıl (Haftada 4 saat)</w:t>
            </w:r>
          </w:p>
        </w:tc>
      </w:tr>
      <w:tr w:rsidR="00BC32DD" w:rsidRPr="00AC570B" w14:paraId="7F22F478" w14:textId="77777777" w:rsidTr="00AC3B9F">
        <w:trPr>
          <w:jc w:val="center"/>
        </w:trPr>
        <w:tc>
          <w:tcPr>
            <w:tcW w:w="2745" w:type="dxa"/>
            <w:vAlign w:val="center"/>
          </w:tcPr>
          <w:p w14:paraId="3E8AD71D" w14:textId="77777777" w:rsidR="00BC32DD" w:rsidRPr="00AC570B" w:rsidRDefault="00BC32DD" w:rsidP="00AC3B9F">
            <w:pPr>
              <w:pStyle w:val="DersBasliklar"/>
              <w:rPr>
                <w:sz w:val="18"/>
                <w:szCs w:val="18"/>
              </w:rPr>
            </w:pPr>
            <w:r w:rsidRPr="00AC570B">
              <w:rPr>
                <w:sz w:val="18"/>
                <w:szCs w:val="18"/>
              </w:rPr>
              <w:t>Eğitim Dili</w:t>
            </w:r>
          </w:p>
        </w:tc>
        <w:tc>
          <w:tcPr>
            <w:tcW w:w="6068" w:type="dxa"/>
          </w:tcPr>
          <w:p w14:paraId="6F6B36D1" w14:textId="77777777" w:rsidR="00BC32DD" w:rsidRPr="00AC570B" w:rsidRDefault="00DA0E00" w:rsidP="00AC3B9F">
            <w:pPr>
              <w:pStyle w:val="DersBilgileri"/>
              <w:rPr>
                <w:sz w:val="18"/>
                <w:szCs w:val="18"/>
              </w:rPr>
            </w:pPr>
            <w:r w:rsidRPr="00AC570B">
              <w:rPr>
                <w:sz w:val="18"/>
                <w:szCs w:val="18"/>
              </w:rPr>
              <w:t>Türkçe</w:t>
            </w:r>
          </w:p>
        </w:tc>
      </w:tr>
      <w:tr w:rsidR="00BC32DD" w:rsidRPr="00AC570B" w14:paraId="423C29D7" w14:textId="77777777" w:rsidTr="00AC3B9F">
        <w:trPr>
          <w:jc w:val="center"/>
        </w:trPr>
        <w:tc>
          <w:tcPr>
            <w:tcW w:w="2745" w:type="dxa"/>
            <w:vAlign w:val="center"/>
          </w:tcPr>
          <w:p w14:paraId="7B09AC3B" w14:textId="77777777" w:rsidR="00BC32DD" w:rsidRPr="00AC570B" w:rsidRDefault="00BC32DD" w:rsidP="00AC3B9F">
            <w:pPr>
              <w:pStyle w:val="DersBasliklar"/>
              <w:rPr>
                <w:sz w:val="18"/>
                <w:szCs w:val="18"/>
              </w:rPr>
            </w:pPr>
            <w:r w:rsidRPr="00AC570B">
              <w:rPr>
                <w:sz w:val="18"/>
                <w:szCs w:val="18"/>
              </w:rPr>
              <w:t>Ön Koşul</w:t>
            </w:r>
          </w:p>
        </w:tc>
        <w:tc>
          <w:tcPr>
            <w:tcW w:w="6068" w:type="dxa"/>
          </w:tcPr>
          <w:p w14:paraId="3D215163" w14:textId="57B75216" w:rsidR="00BC32DD" w:rsidRPr="00AC570B" w:rsidRDefault="00F32658" w:rsidP="00AC3B9F">
            <w:pPr>
              <w:pStyle w:val="DersBilgileri"/>
              <w:rPr>
                <w:sz w:val="18"/>
                <w:szCs w:val="18"/>
              </w:rPr>
            </w:pPr>
            <w:r w:rsidRPr="00AC570B">
              <w:rPr>
                <w:sz w:val="18"/>
                <w:szCs w:val="18"/>
              </w:rPr>
              <w:t>-</w:t>
            </w:r>
          </w:p>
        </w:tc>
      </w:tr>
      <w:tr w:rsidR="00BC32DD" w:rsidRPr="00AC570B" w14:paraId="10E128B1" w14:textId="77777777" w:rsidTr="00AC3B9F">
        <w:trPr>
          <w:jc w:val="center"/>
        </w:trPr>
        <w:tc>
          <w:tcPr>
            <w:tcW w:w="2745" w:type="dxa"/>
            <w:vAlign w:val="center"/>
          </w:tcPr>
          <w:p w14:paraId="191E0602" w14:textId="77777777" w:rsidR="00BC32DD" w:rsidRPr="00AC570B" w:rsidRDefault="00BC32DD" w:rsidP="00AC3B9F">
            <w:pPr>
              <w:pStyle w:val="DersBasliklar"/>
              <w:rPr>
                <w:sz w:val="18"/>
                <w:szCs w:val="18"/>
              </w:rPr>
            </w:pPr>
            <w:r w:rsidRPr="00AC570B">
              <w:rPr>
                <w:sz w:val="18"/>
                <w:szCs w:val="18"/>
              </w:rPr>
              <w:t>Önerilen Kaynaklar</w:t>
            </w:r>
          </w:p>
        </w:tc>
        <w:tc>
          <w:tcPr>
            <w:tcW w:w="6068" w:type="dxa"/>
          </w:tcPr>
          <w:p w14:paraId="2ADF6068" w14:textId="77777777" w:rsidR="001141FC" w:rsidRDefault="001141FC" w:rsidP="001141FC">
            <w:pPr>
              <w:widowControl w:val="0"/>
              <w:autoSpaceDE w:val="0"/>
              <w:autoSpaceDN w:val="0"/>
              <w:adjustRightInd w:val="0"/>
              <w:jc w:val="left"/>
              <w:rPr>
                <w:rFonts w:ascii="Calibri" w:eastAsiaTheme="minorHAnsi" w:hAnsi="Calibri" w:cs="Calibri"/>
                <w:kern w:val="1"/>
                <w:sz w:val="22"/>
                <w:szCs w:val="22"/>
                <w:lang w:val="en-US" w:eastAsia="en-US"/>
              </w:rPr>
            </w:pPr>
            <w:r>
              <w:rPr>
                <w:rFonts w:ascii="Arial" w:eastAsiaTheme="minorHAnsi" w:hAnsi="Arial" w:cs="Arial"/>
                <w:color w:val="313131"/>
                <w:sz w:val="22"/>
                <w:szCs w:val="22"/>
                <w:lang w:val="en-US" w:eastAsia="en-US"/>
              </w:rPr>
              <w:t xml:space="preserve">Emre, K., “Pottery of levels III und IV at the Karum of Kanesh”, K. Emre-B. Hrouda, M.J. Mellink-N. </w:t>
            </w:r>
            <w:r>
              <w:rPr>
                <w:rFonts w:ascii="Calibri" w:eastAsiaTheme="minorHAnsi" w:hAnsi="Calibri" w:cs="Calibri"/>
                <w:kern w:val="1"/>
                <w:sz w:val="22"/>
                <w:szCs w:val="22"/>
                <w:lang w:val="en-US" w:eastAsia="en-US"/>
              </w:rPr>
              <w:t xml:space="preserve">Emre, K. (1964). The Pottery of the Assyrian Colony Period According to the Building Levels of the Kaniș Karum. </w:t>
            </w:r>
            <w:r>
              <w:rPr>
                <w:rFonts w:ascii="Calibri Italic" w:eastAsiaTheme="minorHAnsi" w:hAnsi="Calibri Italic" w:cs="Calibri Italic"/>
                <w:i/>
                <w:iCs/>
                <w:kern w:val="1"/>
                <w:sz w:val="22"/>
                <w:szCs w:val="22"/>
                <w:lang w:val="en-US" w:eastAsia="en-US"/>
              </w:rPr>
              <w:t>Anadolu/Anatolia, VII.</w:t>
            </w:r>
            <w:r>
              <w:rPr>
                <w:rFonts w:ascii="Calibri" w:eastAsiaTheme="minorHAnsi" w:hAnsi="Calibri" w:cs="Calibri"/>
                <w:kern w:val="1"/>
                <w:sz w:val="22"/>
                <w:szCs w:val="22"/>
                <w:lang w:val="en-US" w:eastAsia="en-US"/>
              </w:rPr>
              <w:t xml:space="preserve">, 87-99. </w:t>
            </w:r>
          </w:p>
          <w:p w14:paraId="56822D3A" w14:textId="77777777" w:rsidR="001141FC" w:rsidRDefault="001141FC" w:rsidP="001141FC">
            <w:pPr>
              <w:widowControl w:val="0"/>
              <w:autoSpaceDE w:val="0"/>
              <w:autoSpaceDN w:val="0"/>
              <w:adjustRightInd w:val="0"/>
              <w:ind w:left="720" w:hanging="720"/>
              <w:jc w:val="left"/>
              <w:rPr>
                <w:rFonts w:ascii="Calibri" w:eastAsiaTheme="minorHAnsi" w:hAnsi="Calibri" w:cs="Calibri"/>
                <w:kern w:val="1"/>
                <w:sz w:val="22"/>
                <w:szCs w:val="22"/>
                <w:lang w:val="en-US" w:eastAsia="en-US"/>
              </w:rPr>
            </w:pPr>
            <w:r>
              <w:rPr>
                <w:rFonts w:ascii="Calibri" w:eastAsiaTheme="minorHAnsi" w:hAnsi="Calibri" w:cs="Calibri"/>
                <w:kern w:val="1"/>
                <w:sz w:val="22"/>
                <w:szCs w:val="22"/>
                <w:lang w:val="en-US" w:eastAsia="en-US"/>
              </w:rPr>
              <w:t xml:space="preserve">Emre, K. (1971). </w:t>
            </w:r>
            <w:r>
              <w:rPr>
                <w:rFonts w:ascii="Helvetica Oblique" w:eastAsiaTheme="minorHAnsi" w:hAnsi="Helvetica Oblique" w:cs="Helvetica Oblique"/>
                <w:i/>
                <w:iCs/>
                <w:kern w:val="1"/>
                <w:sz w:val="22"/>
                <w:szCs w:val="22"/>
                <w:lang w:val="en-US" w:eastAsia="en-US"/>
              </w:rPr>
              <w:t>Anadolu Kurşun Figürinleri ve Kalıpları</w:t>
            </w:r>
            <w:r>
              <w:rPr>
                <w:rFonts w:ascii="Helvetica" w:eastAsiaTheme="minorHAnsi" w:hAnsi="Helvetica" w:cs="Helvetica"/>
                <w:kern w:val="1"/>
                <w:sz w:val="22"/>
                <w:szCs w:val="22"/>
                <w:lang w:val="en-US" w:eastAsia="en-US"/>
              </w:rPr>
              <w:t xml:space="preserve"> (Vol. VII.-14). Ankara: Türk Tarih Kurumu Basımevi.</w:t>
            </w:r>
          </w:p>
          <w:p w14:paraId="5B0DF3CB" w14:textId="77777777" w:rsidR="001141FC" w:rsidRDefault="001141FC" w:rsidP="001141FC">
            <w:pPr>
              <w:widowControl w:val="0"/>
              <w:autoSpaceDE w:val="0"/>
              <w:autoSpaceDN w:val="0"/>
              <w:adjustRightInd w:val="0"/>
              <w:spacing w:after="160"/>
              <w:ind w:left="720" w:hanging="720"/>
              <w:jc w:val="left"/>
              <w:rPr>
                <w:rFonts w:ascii="Calibri Italic" w:eastAsiaTheme="minorHAnsi" w:hAnsi="Calibri Italic" w:cs="Calibri Italic"/>
                <w:i/>
                <w:iCs/>
                <w:kern w:val="1"/>
                <w:sz w:val="22"/>
                <w:szCs w:val="22"/>
                <w:lang w:val="en-US" w:eastAsia="en-US"/>
              </w:rPr>
            </w:pPr>
            <w:r>
              <w:rPr>
                <w:rFonts w:ascii="Helvetica" w:eastAsiaTheme="minorHAnsi" w:hAnsi="Helvetica" w:cs="Helvetica"/>
                <w:kern w:val="1"/>
                <w:sz w:val="22"/>
                <w:szCs w:val="22"/>
                <w:lang w:val="en-US" w:eastAsia="en-US"/>
              </w:rPr>
              <w:t xml:space="preserve">Emre, K. (1994b). A Type of Syrian Pottery from Kültepe/Kanis. İçinde P. Calmeyer, K. Hecker, L. Jakob-Rost,  C. B. F. Walker (Eds.), </w:t>
            </w:r>
            <w:r>
              <w:rPr>
                <w:rFonts w:ascii="Calibri Italic" w:eastAsiaTheme="minorHAnsi" w:hAnsi="Calibri Italic" w:cs="Calibri Italic"/>
                <w:i/>
                <w:iCs/>
                <w:kern w:val="1"/>
                <w:sz w:val="22"/>
                <w:szCs w:val="22"/>
                <w:lang w:val="en-US" w:eastAsia="en-US"/>
              </w:rPr>
              <w:t xml:space="preserve">Beiträge zur altorientalischen Archäologie und Altertumskunde: </w:t>
            </w:r>
            <w:r>
              <w:rPr>
                <w:rFonts w:ascii="Calibri Italic" w:eastAsiaTheme="minorHAnsi" w:hAnsi="Calibri Italic" w:cs="Calibri Italic"/>
                <w:i/>
                <w:iCs/>
                <w:kern w:val="1"/>
                <w:sz w:val="22"/>
                <w:szCs w:val="22"/>
                <w:lang w:val="en-US" w:eastAsia="en-US"/>
              </w:rPr>
              <w:lastRenderedPageBreak/>
              <w:t>Festschrift für Barthel Hrouda zum 65. Geburtstag</w:t>
            </w:r>
          </w:p>
          <w:p w14:paraId="414E97E6" w14:textId="77777777" w:rsidR="001141FC" w:rsidRDefault="001141FC" w:rsidP="001141FC">
            <w:pPr>
              <w:widowControl w:val="0"/>
              <w:autoSpaceDE w:val="0"/>
              <w:autoSpaceDN w:val="0"/>
              <w:adjustRightInd w:val="0"/>
              <w:ind w:left="720" w:hanging="720"/>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Ertepinar, P., Langereis, C., Biggin, A., de Groot, L., Kulakoğlu, F., Omura, S., vd. (2016). Full vector archaeomagnetic records from Anatolia between 2400 and 1350 B</w:t>
            </w:r>
            <w:r>
              <w:rPr>
                <w:rFonts w:ascii="Calibri" w:eastAsiaTheme="minorHAnsi" w:hAnsi="Calibri" w:cs="Calibri"/>
                <w:kern w:val="1"/>
                <w:sz w:val="22"/>
                <w:szCs w:val="22"/>
                <w:lang w:val="en-US" w:eastAsia="en-US"/>
              </w:rPr>
              <w:t xml:space="preserve">CE: implications for geomagnetic field models and the dating of fires in antiquity. </w:t>
            </w:r>
            <w:r>
              <w:rPr>
                <w:rFonts w:ascii="Calibri Italic" w:eastAsiaTheme="minorHAnsi" w:hAnsi="Calibri Italic" w:cs="Calibri Italic"/>
                <w:i/>
                <w:iCs/>
                <w:kern w:val="1"/>
                <w:sz w:val="22"/>
                <w:szCs w:val="22"/>
                <w:lang w:val="en-US" w:eastAsia="en-US"/>
              </w:rPr>
              <w:t>Earth and Planetary Science Letters, 434</w:t>
            </w:r>
            <w:r>
              <w:rPr>
                <w:rFonts w:ascii="Calibri" w:eastAsiaTheme="minorHAnsi" w:hAnsi="Calibri" w:cs="Calibri"/>
                <w:kern w:val="1"/>
                <w:sz w:val="22"/>
                <w:szCs w:val="22"/>
                <w:lang w:val="en-US" w:eastAsia="en-US"/>
              </w:rPr>
              <w:t xml:space="preserve">, 171-186. </w:t>
            </w:r>
          </w:p>
          <w:p w14:paraId="7F2634A2" w14:textId="77777777" w:rsidR="001141FC" w:rsidRDefault="001141FC" w:rsidP="001141FC">
            <w:pPr>
              <w:widowControl w:val="0"/>
              <w:autoSpaceDE w:val="0"/>
              <w:autoSpaceDN w:val="0"/>
              <w:adjustRightInd w:val="0"/>
              <w:jc w:val="left"/>
              <w:rPr>
                <w:rFonts w:ascii="Calibri" w:eastAsiaTheme="minorHAnsi" w:hAnsi="Calibri" w:cs="Calibri"/>
                <w:kern w:val="1"/>
                <w:sz w:val="22"/>
                <w:szCs w:val="22"/>
                <w:lang w:val="en-US" w:eastAsia="en-US"/>
              </w:rPr>
            </w:pPr>
            <w:r>
              <w:rPr>
                <w:rFonts w:ascii="Arial" w:eastAsiaTheme="minorHAnsi" w:hAnsi="Arial" w:cs="Arial"/>
                <w:color w:val="313131"/>
                <w:sz w:val="22"/>
                <w:szCs w:val="22"/>
                <w:lang w:val="en-US" w:eastAsia="en-US"/>
              </w:rPr>
              <w:t xml:space="preserve">Günbattı, C., “Kültepe'den Akadlı Sargon'a Ait Bir Tablet”, Archivum Anatolicum III, 1997, 131-155.   </w:t>
            </w:r>
            <w:r>
              <w:rPr>
                <w:rFonts w:ascii="Helvetica" w:eastAsiaTheme="minorHAnsi" w:hAnsi="Helvetica" w:cs="Helvetica"/>
                <w:kern w:val="1"/>
                <w:sz w:val="22"/>
                <w:szCs w:val="22"/>
                <w:lang w:val="en-US" w:eastAsia="en-US"/>
              </w:rPr>
              <w:t xml:space="preserve">Kontani, R., Kulakoğlu, F., Emre, K., Ezer, S. (2011). Kayseri Yüzey Araştırması Projesi KAYAP 2008 Kayseri Archaeological Survey Project 2008. </w:t>
            </w:r>
            <w:r>
              <w:rPr>
                <w:rFonts w:ascii="Calibri Italic" w:eastAsiaTheme="minorHAnsi" w:hAnsi="Calibri Italic" w:cs="Calibri Italic"/>
                <w:i/>
                <w:iCs/>
                <w:kern w:val="1"/>
                <w:sz w:val="22"/>
                <w:szCs w:val="22"/>
                <w:lang w:val="en-US" w:eastAsia="en-US"/>
              </w:rPr>
              <w:t>Studies in Culture , Notre Dame Seishin University, 33</w:t>
            </w:r>
            <w:r>
              <w:rPr>
                <w:rFonts w:ascii="Calibri" w:eastAsiaTheme="minorHAnsi" w:hAnsi="Calibri" w:cs="Calibri"/>
                <w:kern w:val="1"/>
                <w:sz w:val="22"/>
                <w:szCs w:val="22"/>
                <w:lang w:val="en-US" w:eastAsia="en-US"/>
              </w:rPr>
              <w:t xml:space="preserve">(1), 37-46. </w:t>
            </w:r>
          </w:p>
          <w:p w14:paraId="77BE2222" w14:textId="77777777" w:rsidR="001141FC" w:rsidRDefault="001141FC" w:rsidP="001141FC">
            <w:pPr>
              <w:widowControl w:val="0"/>
              <w:autoSpaceDE w:val="0"/>
              <w:autoSpaceDN w:val="0"/>
              <w:adjustRightInd w:val="0"/>
              <w:ind w:left="720" w:hanging="720"/>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 xml:space="preserve">Kulakoğlu, F. (2011b). Kültepe-Kaneš: A Second Millennium B.C.E. Trading Center on the Central Plateau. İçinde S. R. Steadman,G. McMahon (Eds.), </w:t>
            </w:r>
            <w:r>
              <w:rPr>
                <w:rFonts w:ascii="Calibri Italic" w:eastAsiaTheme="minorHAnsi" w:hAnsi="Calibri Italic" w:cs="Calibri Italic"/>
                <w:i/>
                <w:iCs/>
                <w:kern w:val="1"/>
                <w:sz w:val="22"/>
                <w:szCs w:val="22"/>
                <w:lang w:val="en-US" w:eastAsia="en-US"/>
              </w:rPr>
              <w:t>The Oxford Handbook of Ancient Anatolia:(10,000-323 BCE)</w:t>
            </w:r>
            <w:r>
              <w:rPr>
                <w:rFonts w:ascii="Calibri" w:eastAsiaTheme="minorHAnsi" w:hAnsi="Calibri" w:cs="Calibri"/>
                <w:kern w:val="1"/>
                <w:sz w:val="22"/>
                <w:szCs w:val="22"/>
                <w:lang w:val="en-US" w:eastAsia="en-US"/>
              </w:rPr>
              <w:t>: Oxford University Press.</w:t>
            </w:r>
          </w:p>
          <w:p w14:paraId="54307926" w14:textId="77777777" w:rsidR="001141FC" w:rsidRDefault="001141FC" w:rsidP="001141FC">
            <w:pPr>
              <w:widowControl w:val="0"/>
              <w:autoSpaceDE w:val="0"/>
              <w:autoSpaceDN w:val="0"/>
              <w:adjustRightInd w:val="0"/>
              <w:ind w:left="720" w:hanging="720"/>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 xml:space="preserve">Kulakoğlu, F. (2012). Kültepe-Kaneš: A Second Millennium BCE Trading Center on the Central Plateau. İçinde </w:t>
            </w:r>
            <w:r>
              <w:rPr>
                <w:rFonts w:ascii="Calibri Italic" w:eastAsiaTheme="minorHAnsi" w:hAnsi="Calibri Italic" w:cs="Calibri Italic"/>
                <w:i/>
                <w:iCs/>
                <w:kern w:val="1"/>
                <w:sz w:val="22"/>
                <w:szCs w:val="22"/>
                <w:lang w:val="en-US" w:eastAsia="en-US"/>
              </w:rPr>
              <w:t>The Oxford handbook of Ancient Anatolia 10 000-323 BCE</w:t>
            </w:r>
            <w:r>
              <w:rPr>
                <w:rFonts w:ascii="Calibri" w:eastAsiaTheme="minorHAnsi" w:hAnsi="Calibri" w:cs="Calibri"/>
                <w:kern w:val="1"/>
                <w:sz w:val="22"/>
                <w:szCs w:val="22"/>
                <w:lang w:val="en-US" w:eastAsia="en-US"/>
              </w:rPr>
              <w:t>.</w:t>
            </w:r>
          </w:p>
          <w:p w14:paraId="62A477F3" w14:textId="77777777" w:rsidR="001141FC" w:rsidRDefault="001141FC" w:rsidP="001141FC">
            <w:pPr>
              <w:widowControl w:val="0"/>
              <w:autoSpaceDE w:val="0"/>
              <w:autoSpaceDN w:val="0"/>
              <w:adjustRightInd w:val="0"/>
              <w:ind w:left="720" w:hanging="720"/>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Kulakoğlu, F. (2014a). Current Research at Kultepe-Kanesh: An Interdisciplinary and Integrative Approach to Trade Networks, Internationalism, and Identity. İçinde L. Atici, G. Barjamovic, A. Fairbairn,  F. Kulakoglu (</w:t>
            </w:r>
            <w:r>
              <w:rPr>
                <w:rFonts w:ascii="Calibri" w:eastAsiaTheme="minorHAnsi" w:hAnsi="Calibri" w:cs="Calibri"/>
                <w:kern w:val="1"/>
                <w:sz w:val="22"/>
                <w:szCs w:val="22"/>
                <w:lang w:val="en-US" w:eastAsia="en-US"/>
              </w:rPr>
              <w:t xml:space="preserve">Eds.), (Vol. 4):  </w:t>
            </w:r>
          </w:p>
          <w:p w14:paraId="5A9A9A9D" w14:textId="77777777" w:rsidR="001141FC" w:rsidRDefault="001141FC" w:rsidP="001141FC">
            <w:pPr>
              <w:widowControl w:val="0"/>
              <w:autoSpaceDE w:val="0"/>
              <w:autoSpaceDN w:val="0"/>
              <w:adjustRightInd w:val="0"/>
              <w:ind w:left="720" w:hanging="720"/>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 xml:space="preserve">Kulakoğlu, F. (2014b). </w:t>
            </w:r>
            <w:r>
              <w:rPr>
                <w:rFonts w:ascii="Calibri Italic" w:eastAsiaTheme="minorHAnsi" w:hAnsi="Calibri Italic" w:cs="Calibri Italic"/>
                <w:i/>
                <w:iCs/>
                <w:kern w:val="1"/>
                <w:sz w:val="22"/>
                <w:szCs w:val="22"/>
                <w:lang w:val="en-US" w:eastAsia="en-US"/>
              </w:rPr>
              <w:t>Evidences for the Development of Early Urbanisation inCentral Anatolia Recent Research at Kültepe Kanesh</w:t>
            </w:r>
            <w:r>
              <w:rPr>
                <w:rFonts w:ascii="Calibri" w:eastAsiaTheme="minorHAnsi" w:hAnsi="Calibri" w:cs="Calibri"/>
                <w:kern w:val="1"/>
                <w:sz w:val="22"/>
                <w:szCs w:val="22"/>
                <w:lang w:val="en-US" w:eastAsia="en-US"/>
              </w:rPr>
              <w:t xml:space="preserve">. Paper presented at the 20th Annual Meeting of the European Association of Archaeologists  </w:t>
            </w:r>
          </w:p>
          <w:p w14:paraId="782A641B" w14:textId="77777777" w:rsidR="001141FC" w:rsidRDefault="001141FC" w:rsidP="001141FC">
            <w:pPr>
              <w:widowControl w:val="0"/>
              <w:autoSpaceDE w:val="0"/>
              <w:autoSpaceDN w:val="0"/>
              <w:adjustRightInd w:val="0"/>
              <w:ind w:left="720" w:hanging="720"/>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 xml:space="preserve">Kulakoğlu, F. (2015a). </w:t>
            </w:r>
            <w:r>
              <w:rPr>
                <w:rFonts w:ascii="Calibri Italic" w:eastAsiaTheme="minorHAnsi" w:hAnsi="Calibri Italic" w:cs="Calibri Italic"/>
                <w:i/>
                <w:iCs/>
                <w:kern w:val="1"/>
                <w:sz w:val="22"/>
                <w:szCs w:val="22"/>
                <w:lang w:val="en-US" w:eastAsia="en-US"/>
              </w:rPr>
              <w:t>Current Research at Kültepe.</w:t>
            </w:r>
            <w:r>
              <w:rPr>
                <w:rFonts w:ascii="Calibri" w:eastAsiaTheme="minorHAnsi" w:hAnsi="Calibri" w:cs="Calibri"/>
                <w:kern w:val="1"/>
                <w:sz w:val="22"/>
                <w:szCs w:val="22"/>
                <w:lang w:val="en-US" w:eastAsia="en-US"/>
              </w:rPr>
              <w:t xml:space="preserve"> Paper presented at the Proceedings of the 1st Kültepe International Meeting, Kültepe, 19-23 September, 2013. Studies Dedicated to Kutlu Emre.</w:t>
            </w:r>
          </w:p>
          <w:p w14:paraId="0D4F4F4E" w14:textId="77777777" w:rsidR="001141FC" w:rsidRDefault="001141FC" w:rsidP="001141FC">
            <w:pPr>
              <w:widowControl w:val="0"/>
              <w:autoSpaceDE w:val="0"/>
              <w:autoSpaceDN w:val="0"/>
              <w:adjustRightInd w:val="0"/>
              <w:spacing w:after="160" w:line="259" w:lineRule="auto"/>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 xml:space="preserve">Kulakoğlu, F. (2015c). </w:t>
            </w:r>
            <w:r>
              <w:rPr>
                <w:rFonts w:ascii="Calibri Italic" w:eastAsiaTheme="minorHAnsi" w:hAnsi="Calibri Italic" w:cs="Calibri Italic"/>
                <w:i/>
                <w:iCs/>
                <w:kern w:val="1"/>
                <w:sz w:val="22"/>
                <w:szCs w:val="22"/>
                <w:lang w:val="en-US" w:eastAsia="en-US"/>
              </w:rPr>
              <w:t>Monumental Structures at Kültepe Dating to the Early Bronze Age and Evidence of Early State Organization in a Central Anatolian Polity</w:t>
            </w:r>
            <w:r>
              <w:rPr>
                <w:rFonts w:ascii="Calibri" w:eastAsiaTheme="minorHAnsi" w:hAnsi="Calibri" w:cs="Calibri"/>
                <w:kern w:val="1"/>
                <w:sz w:val="22"/>
                <w:szCs w:val="22"/>
                <w:lang w:val="en-US" w:eastAsia="en-US"/>
              </w:rPr>
              <w:t xml:space="preserve">. Paper presented at the The 2nd Kültepe International Meeting/İki̇nci̇ Uluslararasi Kültepe Toplantisi. </w:t>
            </w:r>
          </w:p>
          <w:p w14:paraId="36A2219A" w14:textId="77777777" w:rsidR="001141FC" w:rsidRDefault="001141FC" w:rsidP="001141FC">
            <w:pPr>
              <w:widowControl w:val="0"/>
              <w:autoSpaceDE w:val="0"/>
              <w:autoSpaceDN w:val="0"/>
              <w:adjustRightInd w:val="0"/>
              <w:ind w:left="720" w:hanging="720"/>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Kulakoğlu, F., Öztürk, G. (2015). New evidence for international trade in Bronze Age central Anatolia recently discovered bullae at Kültepe Kanesh</w:t>
            </w:r>
            <w:r>
              <w:rPr>
                <w:rFonts w:ascii="Calibri" w:eastAsiaTheme="minorHAnsi" w:hAnsi="Calibri" w:cs="Calibri"/>
                <w:kern w:val="1"/>
                <w:sz w:val="22"/>
                <w:szCs w:val="22"/>
                <w:lang w:val="en-US" w:eastAsia="en-US"/>
              </w:rPr>
              <w:t xml:space="preserve">. </w:t>
            </w:r>
            <w:r>
              <w:rPr>
                <w:rFonts w:ascii="Calibri Italic" w:eastAsiaTheme="minorHAnsi" w:hAnsi="Calibri Italic" w:cs="Calibri Italic"/>
                <w:i/>
                <w:iCs/>
                <w:kern w:val="1"/>
                <w:sz w:val="22"/>
                <w:szCs w:val="22"/>
                <w:lang w:val="en-US" w:eastAsia="en-US"/>
              </w:rPr>
              <w:t>Antiquity, 1</w:t>
            </w:r>
            <w:r>
              <w:rPr>
                <w:rFonts w:ascii="Calibri" w:eastAsiaTheme="minorHAnsi" w:hAnsi="Calibri" w:cs="Calibri"/>
                <w:kern w:val="1"/>
                <w:sz w:val="22"/>
                <w:szCs w:val="22"/>
                <w:lang w:val="en-US" w:eastAsia="en-US"/>
              </w:rPr>
              <w:t xml:space="preserve">(343), 1. </w:t>
            </w:r>
          </w:p>
          <w:p w14:paraId="04EFE89E" w14:textId="77777777" w:rsidR="001141FC" w:rsidRDefault="001141FC" w:rsidP="001141FC">
            <w:pPr>
              <w:widowControl w:val="0"/>
              <w:autoSpaceDE w:val="0"/>
              <w:autoSpaceDN w:val="0"/>
              <w:adjustRightInd w:val="0"/>
              <w:ind w:left="720" w:hanging="720"/>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 xml:space="preserve">Lehner, J. W., Yazgan, E., Pernicka, E., Kulakoğlu, F. (2015). </w:t>
            </w:r>
            <w:r>
              <w:rPr>
                <w:rFonts w:ascii="Calibri Italic" w:eastAsiaTheme="minorHAnsi" w:hAnsi="Calibri Italic" w:cs="Calibri Italic"/>
                <w:i/>
                <w:iCs/>
                <w:kern w:val="1"/>
                <w:sz w:val="22"/>
                <w:szCs w:val="22"/>
                <w:lang w:val="en-US" w:eastAsia="en-US"/>
              </w:rPr>
              <w:t>Continuity of Tin Bronze Consumption During the Late Third millennium BC at Kültepe.</w:t>
            </w:r>
            <w:r>
              <w:rPr>
                <w:rFonts w:ascii="Calibri" w:eastAsiaTheme="minorHAnsi" w:hAnsi="Calibri" w:cs="Calibri"/>
                <w:kern w:val="1"/>
                <w:sz w:val="22"/>
                <w:szCs w:val="22"/>
                <w:lang w:val="en-US" w:eastAsia="en-US"/>
              </w:rPr>
              <w:t xml:space="preserve"> Paper presented at the Proceedings of the 1st Kültepe International Meeting, Kültepe, 19-23 September, 2013. Studies Dedicated to Kutlu Emre.</w:t>
            </w:r>
          </w:p>
          <w:p w14:paraId="02BB9672" w14:textId="77777777" w:rsidR="001141FC" w:rsidRDefault="001141FC" w:rsidP="001141FC">
            <w:pPr>
              <w:widowControl w:val="0"/>
              <w:autoSpaceDE w:val="0"/>
              <w:autoSpaceDN w:val="0"/>
              <w:adjustRightInd w:val="0"/>
              <w:spacing w:after="160" w:line="259" w:lineRule="auto"/>
              <w:jc w:val="left"/>
              <w:rPr>
                <w:rFonts w:ascii="Arial" w:eastAsiaTheme="minorHAnsi" w:hAnsi="Arial" w:cs="Arial"/>
                <w:color w:val="313131"/>
                <w:sz w:val="22"/>
                <w:szCs w:val="22"/>
                <w:lang w:val="en-US" w:eastAsia="en-US"/>
              </w:rPr>
            </w:pPr>
            <w:r>
              <w:rPr>
                <w:rFonts w:ascii="Arial" w:eastAsiaTheme="minorHAnsi" w:hAnsi="Arial" w:cs="Arial"/>
                <w:color w:val="313131"/>
                <w:sz w:val="22"/>
                <w:szCs w:val="22"/>
                <w:lang w:val="en-US" w:eastAsia="en-US"/>
              </w:rPr>
              <w:t xml:space="preserve">Özgüç (ed.) Anatolia and the Ancient Near East. Studies in </w:t>
            </w:r>
            <w:r>
              <w:rPr>
                <w:rFonts w:ascii="Arial" w:eastAsiaTheme="minorHAnsi" w:hAnsi="Arial" w:cs="Arial"/>
                <w:color w:val="313131"/>
                <w:sz w:val="22"/>
                <w:szCs w:val="22"/>
                <w:lang w:val="en-US" w:eastAsia="en-US"/>
              </w:rPr>
              <w:lastRenderedPageBreak/>
              <w:t xml:space="preserve">Honor of Tahsin Özgüç (1989), 111-28. Özgüç, N.-T. Özgüç, Kültepe Kazısı 1949/Ausgrabungen in Kültepe 1949. TTKY-V/12 (1953). </w:t>
            </w:r>
          </w:p>
          <w:p w14:paraId="71874ADC" w14:textId="77777777" w:rsidR="001141FC" w:rsidRDefault="001141FC" w:rsidP="001141FC">
            <w:pPr>
              <w:widowControl w:val="0"/>
              <w:autoSpaceDE w:val="0"/>
              <w:autoSpaceDN w:val="0"/>
              <w:adjustRightInd w:val="0"/>
              <w:jc w:val="left"/>
              <w:rPr>
                <w:rFonts w:ascii="Arial" w:eastAsiaTheme="minorHAnsi" w:hAnsi="Arial" w:cs="Arial"/>
                <w:color w:val="313131"/>
                <w:sz w:val="22"/>
                <w:szCs w:val="22"/>
                <w:lang w:val="en-US" w:eastAsia="en-US"/>
              </w:rPr>
            </w:pPr>
            <w:r>
              <w:rPr>
                <w:rFonts w:ascii="Arial" w:eastAsiaTheme="minorHAnsi" w:hAnsi="Arial" w:cs="Arial"/>
                <w:color w:val="313131"/>
                <w:sz w:val="22"/>
                <w:szCs w:val="22"/>
                <w:lang w:val="en-US" w:eastAsia="en-US"/>
              </w:rPr>
              <w:t xml:space="preserve">Özgüç, T., Kültepe Kazısı 1948/Ausgrabungen in Kültepe 1948. TTKY V.10 (1950). </w:t>
            </w:r>
          </w:p>
          <w:p w14:paraId="6E4FC3A5" w14:textId="77777777" w:rsidR="001141FC" w:rsidRDefault="001141FC" w:rsidP="001141FC">
            <w:pPr>
              <w:widowControl w:val="0"/>
              <w:autoSpaceDE w:val="0"/>
              <w:autoSpaceDN w:val="0"/>
              <w:adjustRightInd w:val="0"/>
              <w:jc w:val="left"/>
              <w:rPr>
                <w:rFonts w:ascii="Arial" w:eastAsiaTheme="minorHAnsi" w:hAnsi="Arial" w:cs="Arial"/>
                <w:color w:val="313131"/>
                <w:sz w:val="22"/>
                <w:szCs w:val="22"/>
                <w:lang w:val="en-US" w:eastAsia="en-US"/>
              </w:rPr>
            </w:pPr>
            <w:r>
              <w:rPr>
                <w:rFonts w:ascii="Arial" w:eastAsiaTheme="minorHAnsi" w:hAnsi="Arial" w:cs="Arial"/>
                <w:color w:val="313131"/>
                <w:sz w:val="22"/>
                <w:szCs w:val="22"/>
                <w:lang w:val="en-US" w:eastAsia="en-US"/>
              </w:rPr>
              <w:t xml:space="preserve">Özgüç, T., Kültepe-Kaniş II. Eski Yakındoğu’nun Ticaret Merkezinde Yeni Araştırmalar/New Researches at the Trading Center of the Ancient Near East. TTKY V.41 (1986). </w:t>
            </w:r>
          </w:p>
          <w:p w14:paraId="05118D1A" w14:textId="77777777" w:rsidR="001141FC" w:rsidRDefault="001141FC" w:rsidP="001141FC">
            <w:pPr>
              <w:widowControl w:val="0"/>
              <w:autoSpaceDE w:val="0"/>
              <w:autoSpaceDN w:val="0"/>
              <w:adjustRightInd w:val="0"/>
              <w:jc w:val="left"/>
              <w:rPr>
                <w:rFonts w:ascii="Arial" w:eastAsiaTheme="minorHAnsi" w:hAnsi="Arial" w:cs="Arial"/>
                <w:color w:val="313131"/>
                <w:sz w:val="22"/>
                <w:szCs w:val="22"/>
                <w:lang w:val="en-US" w:eastAsia="en-US"/>
              </w:rPr>
            </w:pPr>
            <w:r>
              <w:rPr>
                <w:rFonts w:ascii="Arial" w:eastAsiaTheme="minorHAnsi" w:hAnsi="Arial" w:cs="Arial"/>
                <w:color w:val="313131"/>
                <w:sz w:val="22"/>
                <w:szCs w:val="22"/>
                <w:lang w:val="en-US" w:eastAsia="en-US"/>
              </w:rPr>
              <w:t xml:space="preserve">Özgüç, T., “New Observations on the Relationship of Kültepe with Southeast Anatolia and North Syria During the Third Millenium BC.”, Essays in Honor of Machteld J. Mellink (1986), 31-47. </w:t>
            </w:r>
          </w:p>
          <w:p w14:paraId="0D5ED12D" w14:textId="77777777" w:rsidR="001141FC" w:rsidRDefault="001141FC" w:rsidP="001141FC">
            <w:pPr>
              <w:widowControl w:val="0"/>
              <w:autoSpaceDE w:val="0"/>
              <w:autoSpaceDN w:val="0"/>
              <w:adjustRightInd w:val="0"/>
              <w:jc w:val="left"/>
              <w:rPr>
                <w:rFonts w:ascii="Arial" w:eastAsiaTheme="minorHAnsi" w:hAnsi="Arial" w:cs="Arial"/>
                <w:color w:val="313131"/>
                <w:sz w:val="22"/>
                <w:szCs w:val="22"/>
                <w:lang w:val="en-US" w:eastAsia="en-US"/>
              </w:rPr>
            </w:pPr>
            <w:r>
              <w:rPr>
                <w:rFonts w:ascii="Arial" w:eastAsiaTheme="minorHAnsi" w:hAnsi="Arial" w:cs="Arial"/>
                <w:color w:val="313131"/>
                <w:sz w:val="22"/>
                <w:szCs w:val="22"/>
                <w:lang w:val="en-US" w:eastAsia="en-US"/>
              </w:rPr>
              <w:t xml:space="preserve">Özgüç, T., Kültepe-Kaniš/Neša Sarayları ve Mabedleri/The Palaces and Temples of Kültepe Kaniš/Neša. TTKY-V/46 (1999). </w:t>
            </w:r>
          </w:p>
          <w:p w14:paraId="098B5DB4" w14:textId="77777777" w:rsidR="001141FC" w:rsidRDefault="001141FC" w:rsidP="001141FC">
            <w:pPr>
              <w:widowControl w:val="0"/>
              <w:autoSpaceDE w:val="0"/>
              <w:autoSpaceDN w:val="0"/>
              <w:adjustRightInd w:val="0"/>
              <w:jc w:val="left"/>
              <w:rPr>
                <w:rFonts w:ascii="Arial" w:eastAsiaTheme="minorHAnsi" w:hAnsi="Arial" w:cs="Arial"/>
                <w:color w:val="313131"/>
                <w:sz w:val="22"/>
                <w:szCs w:val="22"/>
                <w:lang w:val="en-US" w:eastAsia="en-US"/>
              </w:rPr>
            </w:pPr>
            <w:r>
              <w:rPr>
                <w:rFonts w:ascii="Arial" w:eastAsiaTheme="minorHAnsi" w:hAnsi="Arial" w:cs="Arial"/>
                <w:color w:val="313131"/>
                <w:sz w:val="22"/>
                <w:szCs w:val="22"/>
                <w:lang w:val="en-US" w:eastAsia="en-US"/>
              </w:rPr>
              <w:t>Özgüç, T., Kültepe/Kaniş-Neša. The Earliest International Trade Center of the Ancient World and the Oldest Hittite Capital Town (2003). Veenhof, K.R., The Old Assyrian List of Year Eponyms from Karum Kanesh and its Chronological Implications. TTKY-VI/64 (2003).</w:t>
            </w:r>
          </w:p>
          <w:p w14:paraId="3669B8BE" w14:textId="2190932F" w:rsidR="00FD4913" w:rsidRPr="001141FC" w:rsidRDefault="001141FC" w:rsidP="001141FC">
            <w:pPr>
              <w:widowControl w:val="0"/>
              <w:autoSpaceDE w:val="0"/>
              <w:autoSpaceDN w:val="0"/>
              <w:adjustRightInd w:val="0"/>
              <w:spacing w:after="160"/>
              <w:ind w:left="720" w:hanging="720"/>
              <w:jc w:val="left"/>
              <w:rPr>
                <w:rFonts w:ascii="Calibri" w:eastAsiaTheme="minorHAnsi" w:hAnsi="Calibri" w:cs="Calibri"/>
                <w:kern w:val="1"/>
                <w:sz w:val="22"/>
                <w:szCs w:val="22"/>
                <w:lang w:val="en-US" w:eastAsia="en-US"/>
              </w:rPr>
            </w:pPr>
            <w:r>
              <w:rPr>
                <w:rFonts w:ascii="Helvetica" w:eastAsiaTheme="minorHAnsi" w:hAnsi="Helvetica" w:cs="Helvetica"/>
                <w:kern w:val="1"/>
                <w:sz w:val="22"/>
                <w:szCs w:val="22"/>
                <w:lang w:val="en-US" w:eastAsia="en-US"/>
              </w:rPr>
              <w:t xml:space="preserve">Yener, K. A., Kulakoğlu, F., Yazgan, E., Kontani, R., Hayakawa, Y. S., Lehner, J. W., vd. (2015). New tin mines and production sites near Kültepe in Turkey: a third-millennium BC highland </w:t>
            </w:r>
            <w:r>
              <w:rPr>
                <w:rFonts w:ascii="Calibri" w:eastAsiaTheme="minorHAnsi" w:hAnsi="Calibri" w:cs="Calibri"/>
                <w:kern w:val="1"/>
                <w:sz w:val="22"/>
                <w:szCs w:val="22"/>
                <w:lang w:val="en-US" w:eastAsia="en-US"/>
              </w:rPr>
              <w:t xml:space="preserve">production model. </w:t>
            </w:r>
            <w:r>
              <w:rPr>
                <w:rFonts w:ascii="Calibri Italic" w:eastAsiaTheme="minorHAnsi" w:hAnsi="Calibri Italic" w:cs="Calibri Italic"/>
                <w:i/>
                <w:iCs/>
                <w:kern w:val="1"/>
                <w:sz w:val="22"/>
                <w:szCs w:val="22"/>
                <w:lang w:val="en-US" w:eastAsia="en-US"/>
              </w:rPr>
              <w:t>Antiquity, 89</w:t>
            </w:r>
            <w:r>
              <w:rPr>
                <w:rFonts w:ascii="Calibri" w:eastAsiaTheme="minorHAnsi" w:hAnsi="Calibri" w:cs="Calibri"/>
                <w:kern w:val="1"/>
                <w:sz w:val="22"/>
                <w:szCs w:val="22"/>
                <w:lang w:val="en-US" w:eastAsia="en-US"/>
              </w:rPr>
              <w:t xml:space="preserve">(345), 596-612. </w:t>
            </w:r>
            <w:bookmarkStart w:id="0" w:name="_GoBack"/>
            <w:bookmarkEnd w:id="0"/>
          </w:p>
        </w:tc>
      </w:tr>
      <w:tr w:rsidR="00BC32DD" w:rsidRPr="00AC570B" w14:paraId="6491A409" w14:textId="77777777" w:rsidTr="00AC3B9F">
        <w:trPr>
          <w:jc w:val="center"/>
        </w:trPr>
        <w:tc>
          <w:tcPr>
            <w:tcW w:w="2745" w:type="dxa"/>
            <w:vAlign w:val="center"/>
          </w:tcPr>
          <w:p w14:paraId="28E2D5B6" w14:textId="030859B1" w:rsidR="00BC32DD" w:rsidRPr="00AC570B" w:rsidRDefault="00BC32DD" w:rsidP="00AC3B9F">
            <w:pPr>
              <w:pStyle w:val="DersBasliklar"/>
              <w:rPr>
                <w:sz w:val="18"/>
                <w:szCs w:val="18"/>
              </w:rPr>
            </w:pPr>
            <w:r w:rsidRPr="00AC570B">
              <w:rPr>
                <w:sz w:val="18"/>
                <w:szCs w:val="18"/>
              </w:rPr>
              <w:lastRenderedPageBreak/>
              <w:t>Dersin Kredisi</w:t>
            </w:r>
          </w:p>
        </w:tc>
        <w:tc>
          <w:tcPr>
            <w:tcW w:w="6068" w:type="dxa"/>
            <w:vAlign w:val="center"/>
          </w:tcPr>
          <w:p w14:paraId="212D5E91" w14:textId="77777777" w:rsidR="00BC32DD" w:rsidRPr="00AC570B" w:rsidRDefault="00511205" w:rsidP="00AC3B9F">
            <w:pPr>
              <w:pStyle w:val="DersBilgileri"/>
              <w:rPr>
                <w:sz w:val="18"/>
                <w:szCs w:val="18"/>
              </w:rPr>
            </w:pPr>
            <w:r w:rsidRPr="00AC570B">
              <w:rPr>
                <w:sz w:val="18"/>
                <w:szCs w:val="18"/>
              </w:rPr>
              <w:t>4</w:t>
            </w:r>
          </w:p>
        </w:tc>
      </w:tr>
      <w:tr w:rsidR="00BC32DD" w:rsidRPr="00AC570B" w14:paraId="341B0359" w14:textId="77777777" w:rsidTr="00AC3B9F">
        <w:trPr>
          <w:jc w:val="center"/>
        </w:trPr>
        <w:tc>
          <w:tcPr>
            <w:tcW w:w="2745" w:type="dxa"/>
            <w:vAlign w:val="center"/>
          </w:tcPr>
          <w:p w14:paraId="424ED26C" w14:textId="77777777" w:rsidR="00BC32DD" w:rsidRPr="00AC570B" w:rsidRDefault="00BC32DD" w:rsidP="00AC3B9F">
            <w:pPr>
              <w:pStyle w:val="DersBasliklar"/>
              <w:rPr>
                <w:sz w:val="18"/>
                <w:szCs w:val="18"/>
              </w:rPr>
            </w:pPr>
            <w:r w:rsidRPr="00AC570B">
              <w:rPr>
                <w:sz w:val="18"/>
                <w:szCs w:val="18"/>
              </w:rPr>
              <w:t>Laboratuvar</w:t>
            </w:r>
          </w:p>
        </w:tc>
        <w:tc>
          <w:tcPr>
            <w:tcW w:w="6068" w:type="dxa"/>
            <w:vAlign w:val="center"/>
          </w:tcPr>
          <w:p w14:paraId="64EB5B50" w14:textId="77777777" w:rsidR="00BC32DD" w:rsidRPr="00AC570B" w:rsidRDefault="00BC32DD" w:rsidP="00AC3B9F">
            <w:pPr>
              <w:pStyle w:val="DersBilgileri"/>
              <w:rPr>
                <w:sz w:val="18"/>
                <w:szCs w:val="18"/>
              </w:rPr>
            </w:pPr>
          </w:p>
        </w:tc>
      </w:tr>
      <w:tr w:rsidR="00BC32DD" w:rsidRPr="00AC570B" w14:paraId="3FDC50CD" w14:textId="77777777" w:rsidTr="00AC3B9F">
        <w:trPr>
          <w:jc w:val="center"/>
        </w:trPr>
        <w:tc>
          <w:tcPr>
            <w:tcW w:w="2745" w:type="dxa"/>
            <w:vAlign w:val="center"/>
          </w:tcPr>
          <w:p w14:paraId="0B5C4DC5" w14:textId="77777777" w:rsidR="00BC32DD" w:rsidRPr="00AC570B" w:rsidRDefault="00BC32DD" w:rsidP="00AC3B9F">
            <w:pPr>
              <w:pStyle w:val="DersBasliklar"/>
              <w:rPr>
                <w:sz w:val="18"/>
                <w:szCs w:val="18"/>
              </w:rPr>
            </w:pPr>
            <w:r w:rsidRPr="00AC570B">
              <w:rPr>
                <w:sz w:val="18"/>
                <w:szCs w:val="18"/>
              </w:rPr>
              <w:t>Diğer-1</w:t>
            </w:r>
          </w:p>
        </w:tc>
        <w:tc>
          <w:tcPr>
            <w:tcW w:w="6068" w:type="dxa"/>
            <w:vAlign w:val="center"/>
          </w:tcPr>
          <w:p w14:paraId="6F202946" w14:textId="77777777" w:rsidR="00BC32DD" w:rsidRPr="00AC570B" w:rsidRDefault="00BC32DD" w:rsidP="00AC3B9F">
            <w:pPr>
              <w:pStyle w:val="DersBilgileri"/>
              <w:rPr>
                <w:sz w:val="18"/>
                <w:szCs w:val="18"/>
              </w:rPr>
            </w:pPr>
          </w:p>
        </w:tc>
      </w:tr>
    </w:tbl>
    <w:p w14:paraId="02149162" w14:textId="77777777" w:rsidR="00BC32DD" w:rsidRPr="001A2552" w:rsidRDefault="00BC32DD" w:rsidP="00BC32DD">
      <w:pPr>
        <w:rPr>
          <w:sz w:val="16"/>
          <w:szCs w:val="16"/>
        </w:rPr>
      </w:pPr>
    </w:p>
    <w:p w14:paraId="6A1A05F6" w14:textId="77777777" w:rsidR="00BC32DD" w:rsidRPr="001A2552" w:rsidRDefault="00BC32DD" w:rsidP="00BC32DD">
      <w:pPr>
        <w:rPr>
          <w:sz w:val="16"/>
          <w:szCs w:val="16"/>
        </w:rPr>
      </w:pPr>
    </w:p>
    <w:p w14:paraId="03639267" w14:textId="77777777" w:rsidR="00BC32DD" w:rsidRPr="001A2552" w:rsidRDefault="00BC32DD" w:rsidP="00BC32DD">
      <w:pPr>
        <w:rPr>
          <w:sz w:val="16"/>
          <w:szCs w:val="16"/>
        </w:rPr>
      </w:pPr>
    </w:p>
    <w:p w14:paraId="1DF43058" w14:textId="77777777" w:rsidR="00BC32DD" w:rsidRDefault="00BC32DD" w:rsidP="00BC32DD"/>
    <w:p w14:paraId="3BEF58EA" w14:textId="77777777" w:rsidR="00AC3B9F" w:rsidRDefault="00AC3B9F"/>
    <w:sectPr w:rsidR="00AC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Italic">
    <w:panose1 w:val="020F05020202040A0204"/>
    <w:charset w:val="00"/>
    <w:family w:val="auto"/>
    <w:pitch w:val="variable"/>
    <w:sig w:usb0="E10002FF" w:usb1="4000ACFF" w:usb2="00000009" w:usb3="00000000" w:csb0="0000019F" w:csb1="00000000"/>
  </w:font>
  <w:font w:name="Helvetica Oblique">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altName w:val="Tahoma"/>
    <w:charset w:val="A2"/>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32228"/>
    <w:rsid w:val="000A48ED"/>
    <w:rsid w:val="001141FC"/>
    <w:rsid w:val="00394DD9"/>
    <w:rsid w:val="00442115"/>
    <w:rsid w:val="00511205"/>
    <w:rsid w:val="00733B86"/>
    <w:rsid w:val="00832BE3"/>
    <w:rsid w:val="00AC3B9F"/>
    <w:rsid w:val="00AC570B"/>
    <w:rsid w:val="00BC32DD"/>
    <w:rsid w:val="00D02B5E"/>
    <w:rsid w:val="00DA0E00"/>
    <w:rsid w:val="00DE593F"/>
    <w:rsid w:val="00E33C44"/>
    <w:rsid w:val="00E945E3"/>
    <w:rsid w:val="00F32658"/>
    <w:rsid w:val="00F83C56"/>
    <w:rsid w:val="00FD4913"/>
    <w:rsid w:val="00FE242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7A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Hyperlink">
    <w:name w:val="Hyperlink"/>
    <w:basedOn w:val="DefaultParagraphFont"/>
    <w:uiPriority w:val="99"/>
    <w:semiHidden/>
    <w:unhideWhenUsed/>
    <w:rsid w:val="00E945E3"/>
    <w:rPr>
      <w:color w:val="0000FF"/>
      <w:u w:val="single"/>
    </w:rPr>
  </w:style>
  <w:style w:type="paragraph" w:styleId="BodyText">
    <w:name w:val="Body Text"/>
    <w:basedOn w:val="Normal"/>
    <w:link w:val="BodyTextChar"/>
    <w:uiPriority w:val="99"/>
    <w:unhideWhenUsed/>
    <w:rsid w:val="00E945E3"/>
    <w:pPr>
      <w:spacing w:after="120"/>
    </w:pPr>
  </w:style>
  <w:style w:type="character" w:customStyle="1" w:styleId="BodyTextChar">
    <w:name w:val="Body Text Char"/>
    <w:basedOn w:val="DefaultParagraphFont"/>
    <w:link w:val="BodyText"/>
    <w:uiPriority w:val="99"/>
    <w:rsid w:val="00E945E3"/>
    <w:rPr>
      <w:rFonts w:ascii="Verdana" w:eastAsia="Times New Roman" w:hAnsi="Verdana" w:cs="Times New Roman"/>
      <w:sz w:val="20"/>
      <w:szCs w:val="24"/>
      <w:lang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Hyperlink">
    <w:name w:val="Hyperlink"/>
    <w:basedOn w:val="DefaultParagraphFont"/>
    <w:uiPriority w:val="99"/>
    <w:semiHidden/>
    <w:unhideWhenUsed/>
    <w:rsid w:val="00E945E3"/>
    <w:rPr>
      <w:color w:val="0000FF"/>
      <w:u w:val="single"/>
    </w:rPr>
  </w:style>
  <w:style w:type="paragraph" w:styleId="BodyText">
    <w:name w:val="Body Text"/>
    <w:basedOn w:val="Normal"/>
    <w:link w:val="BodyTextChar"/>
    <w:uiPriority w:val="99"/>
    <w:unhideWhenUsed/>
    <w:rsid w:val="00E945E3"/>
    <w:pPr>
      <w:spacing w:after="120"/>
    </w:pPr>
  </w:style>
  <w:style w:type="character" w:customStyle="1" w:styleId="BodyTextChar">
    <w:name w:val="Body Text Char"/>
    <w:basedOn w:val="DefaultParagraphFont"/>
    <w:link w:val="BodyText"/>
    <w:uiPriority w:val="99"/>
    <w:rsid w:val="00E945E3"/>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960</Words>
  <Characters>5472</Characters>
  <Application>Microsoft Macintosh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Unknown   Unknown </cp:lastModifiedBy>
  <cp:revision>10</cp:revision>
  <dcterms:created xsi:type="dcterms:W3CDTF">2017-02-03T08:50:00Z</dcterms:created>
  <dcterms:modified xsi:type="dcterms:W3CDTF">2020-05-10T16:47:00Z</dcterms:modified>
</cp:coreProperties>
</file>