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53" w:rsidRPr="00684653" w:rsidRDefault="00684653" w:rsidP="00684653">
      <w:proofErr w:type="spellStart"/>
      <w:r w:rsidRPr="00684653">
        <w:t>I.Hattušili’den</w:t>
      </w:r>
      <w:proofErr w:type="spellEnd"/>
      <w:r w:rsidRPr="00684653">
        <w:t xml:space="preserve"> sonra </w:t>
      </w:r>
      <w:proofErr w:type="spellStart"/>
      <w:r w:rsidRPr="00684653">
        <w:t>iktidari</w:t>
      </w:r>
      <w:proofErr w:type="spellEnd"/>
      <w:r w:rsidRPr="00684653">
        <w:t xml:space="preserve"> devralan I. </w:t>
      </w:r>
      <w:proofErr w:type="spellStart"/>
      <w:r w:rsidRPr="00684653">
        <w:t>Muršili</w:t>
      </w:r>
      <w:proofErr w:type="spellEnd"/>
      <w:r w:rsidRPr="00684653">
        <w:t xml:space="preserve">, Eski Yakındoğu’da kendi döneminin en başarılı kralları arasında yer almaktadır. Bununla birlikte onun dönemini aydınlatan kaynaklar azdır ve kısa bilgiler içerir. I. </w:t>
      </w:r>
      <w:proofErr w:type="spellStart"/>
      <w:r w:rsidRPr="00684653">
        <w:t>Muršili</w:t>
      </w:r>
      <w:proofErr w:type="spellEnd"/>
      <w:r w:rsidRPr="00684653">
        <w:t xml:space="preserve">, selefinin yarım kalan işini tamamlar ve Halep kentini ele geçirir. Halep, Hitit ilerleyişini durduran son kale olarak değerlendirilebilir. Karşısında herhangi bir engel kalmayan Hitit ordusu yönünü Mezopotamya’ya çevirir ve Babil kenti ele geçirilir. Hitit ordusunun dönüş yolunda </w:t>
      </w:r>
      <w:proofErr w:type="spellStart"/>
      <w:r w:rsidRPr="00684653">
        <w:t>Hurri</w:t>
      </w:r>
      <w:proofErr w:type="spellEnd"/>
      <w:r w:rsidRPr="00684653">
        <w:t xml:space="preserve"> saldırısına uğradığı da bilinmektedir. Bu kısa bilgiler </w:t>
      </w:r>
      <w:proofErr w:type="spellStart"/>
      <w:r w:rsidRPr="00684653">
        <w:t>Telipinu</w:t>
      </w:r>
      <w:proofErr w:type="spellEnd"/>
      <w:r w:rsidRPr="00684653">
        <w:t xml:space="preserve"> </w:t>
      </w:r>
      <w:proofErr w:type="spellStart"/>
      <w:r w:rsidRPr="00684653">
        <w:t>Metni’nde</w:t>
      </w:r>
      <w:proofErr w:type="spellEnd"/>
      <w:r w:rsidRPr="00684653">
        <w:t xml:space="preserve"> kayıtlıdır</w:t>
      </w:r>
      <w:r w:rsidRPr="00684653">
        <w:rPr>
          <w:vertAlign w:val="superscript"/>
        </w:rPr>
        <w:footnoteReference w:id="1"/>
      </w:r>
      <w:r w:rsidRPr="00684653">
        <w:t xml:space="preserve"> </w:t>
      </w:r>
      <w:proofErr w:type="spellStart"/>
      <w:r w:rsidRPr="00684653">
        <w:t>I.Muršili</w:t>
      </w:r>
      <w:proofErr w:type="spellEnd"/>
      <w:r w:rsidRPr="00684653">
        <w:t xml:space="preserve"> döneminde, Suriye’nin doğusunda Fırat Havzası’ndaki Hana krallığı ile de bir antlaşma yapılmıştır. Bu antlaşma her iki taraf açısında da faydalı olmalıdır. Böylece Hana krallığı Hitit ordusunu, olası </w:t>
      </w:r>
      <w:proofErr w:type="spellStart"/>
      <w:r w:rsidRPr="00684653">
        <w:t>Hurri</w:t>
      </w:r>
      <w:proofErr w:type="spellEnd"/>
      <w:r w:rsidRPr="00684653">
        <w:t xml:space="preserve"> saldırılarından korumuş olacaktı. Ayrıca kendisini de Hitit birliklerinin olası hedeflerinden biri olmaktan kurtaracaktı. Buna ek olarak hem bir </w:t>
      </w:r>
      <w:proofErr w:type="spellStart"/>
      <w:r w:rsidRPr="00684653">
        <w:t>Hurri</w:t>
      </w:r>
      <w:proofErr w:type="spellEnd"/>
      <w:r w:rsidRPr="00684653">
        <w:t xml:space="preserve"> saldırısından kurtulmuş olacak ve hem de komşusu Babil’in zayıflamasından memnuniyet duyacaktı</w:t>
      </w:r>
      <w:r w:rsidRPr="00684653">
        <w:rPr>
          <w:vertAlign w:val="superscript"/>
        </w:rPr>
        <w:footnoteReference w:id="2"/>
      </w:r>
      <w:r w:rsidRPr="00684653">
        <w:t>.</w:t>
      </w:r>
      <w:proofErr w:type="spellStart"/>
      <w:r w:rsidRPr="00684653">
        <w:t>Telipinu’ya</w:t>
      </w:r>
      <w:proofErr w:type="spellEnd"/>
      <w:r w:rsidRPr="00684653">
        <w:t xml:space="preserve"> ait metinden I. </w:t>
      </w:r>
      <w:proofErr w:type="spellStart"/>
      <w:r w:rsidRPr="00684653">
        <w:t>Muršili’nin</w:t>
      </w:r>
      <w:proofErr w:type="spellEnd"/>
      <w:r w:rsidRPr="00684653">
        <w:t xml:space="preserve"> trajik bir sonla karşılaştığını öğreniyoruz. Tahta geçme ile ilgili olarak idari bazı düzenlemelerden söz eden bu metin aynı zamanda </w:t>
      </w:r>
      <w:proofErr w:type="spellStart"/>
      <w:r w:rsidRPr="00684653">
        <w:t>Telipinu’ya</w:t>
      </w:r>
      <w:proofErr w:type="spellEnd"/>
      <w:r w:rsidRPr="00684653">
        <w:t xml:space="preserve"> kadar olan siyasi birtakım olayları da özetlemektedir. </w:t>
      </w:r>
      <w:proofErr w:type="spellStart"/>
      <w:r w:rsidRPr="00684653">
        <w:t>Hantili</w:t>
      </w:r>
      <w:proofErr w:type="spellEnd"/>
      <w:r w:rsidRPr="00684653">
        <w:t xml:space="preserve">, </w:t>
      </w:r>
      <w:proofErr w:type="spellStart"/>
      <w:r w:rsidRPr="00684653">
        <w:t>Zidanza</w:t>
      </w:r>
      <w:proofErr w:type="spellEnd"/>
      <w:r w:rsidRPr="00684653">
        <w:t xml:space="preserve">, </w:t>
      </w:r>
      <w:proofErr w:type="spellStart"/>
      <w:r w:rsidRPr="00684653">
        <w:t>Ammuna</w:t>
      </w:r>
      <w:proofErr w:type="spellEnd"/>
      <w:r w:rsidRPr="00684653">
        <w:t xml:space="preserve"> ve </w:t>
      </w:r>
      <w:proofErr w:type="spellStart"/>
      <w:r w:rsidRPr="00684653">
        <w:t>Huzziya’yı</w:t>
      </w:r>
      <w:proofErr w:type="spellEnd"/>
      <w:r w:rsidRPr="00684653">
        <w:t xml:space="preserve"> içeren dönem Hitit sarayında uzun bir suç zincirinin yaşandığı dönem olarak bilinir. Saraydaki çalkantılar, </w:t>
      </w:r>
      <w:proofErr w:type="spellStart"/>
      <w:r w:rsidRPr="00684653">
        <w:t>Hititler’in</w:t>
      </w:r>
      <w:proofErr w:type="spellEnd"/>
      <w:r w:rsidRPr="00684653">
        <w:t xml:space="preserve"> dış politikada eskisi gibi etkili olmasını önlemiş olmalıdır.</w:t>
      </w:r>
    </w:p>
    <w:p w:rsidR="00684653" w:rsidRPr="00684653" w:rsidRDefault="00684653" w:rsidP="00684653">
      <w:proofErr w:type="spellStart"/>
      <w:r w:rsidRPr="00684653">
        <w:t>Muršili’den</w:t>
      </w:r>
      <w:proofErr w:type="spellEnd"/>
      <w:r w:rsidRPr="00684653">
        <w:t xml:space="preserve"> sonraki istikrarsız durum </w:t>
      </w:r>
      <w:proofErr w:type="spellStart"/>
      <w:r w:rsidRPr="00684653">
        <w:t>Telipinu</w:t>
      </w:r>
      <w:proofErr w:type="spellEnd"/>
      <w:r w:rsidRPr="00684653">
        <w:t xml:space="preserve"> metninde sıklıkla vurgulanmıştır. Bu dönemde </w:t>
      </w:r>
      <w:proofErr w:type="spellStart"/>
      <w:r w:rsidRPr="00684653">
        <w:t>Hatti</w:t>
      </w:r>
      <w:proofErr w:type="spellEnd"/>
      <w:r w:rsidRPr="00684653">
        <w:t xml:space="preserve"> ülkesinin her tarafında isyan baş gösterdiği ve sınırdaki toprakların kaybedildiği anlaşılmaktadır. Kral </w:t>
      </w:r>
      <w:proofErr w:type="spellStart"/>
      <w:r w:rsidRPr="00684653">
        <w:t>Ammuna’nın</w:t>
      </w:r>
      <w:proofErr w:type="spellEnd"/>
      <w:r w:rsidRPr="00684653">
        <w:t xml:space="preserve"> sefer yürüttüğü kentlerden biri de </w:t>
      </w:r>
      <w:proofErr w:type="spellStart"/>
      <w:r w:rsidRPr="00684653">
        <w:t>Kizzuwatna’nın</w:t>
      </w:r>
      <w:proofErr w:type="spellEnd"/>
      <w:r w:rsidRPr="00684653">
        <w:t xml:space="preserve"> önemli kenti </w:t>
      </w:r>
      <w:proofErr w:type="spellStart"/>
      <w:r w:rsidRPr="00684653">
        <w:t>Adaniya’dır</w:t>
      </w:r>
      <w:proofErr w:type="spellEnd"/>
      <w:r w:rsidRPr="00684653">
        <w:rPr>
          <w:vertAlign w:val="superscript"/>
        </w:rPr>
        <w:footnoteReference w:id="3"/>
      </w:r>
      <w:r w:rsidRPr="00684653">
        <w:t xml:space="preserve">. </w:t>
      </w:r>
      <w:proofErr w:type="spellStart"/>
      <w:r w:rsidRPr="00684653">
        <w:t>Telipinu</w:t>
      </w:r>
      <w:proofErr w:type="spellEnd"/>
      <w:r w:rsidRPr="00684653">
        <w:t xml:space="preserve">, bu istikrarsız sürece son vermek için çabalamıştır. </w:t>
      </w:r>
      <w:proofErr w:type="spellStart"/>
      <w:r w:rsidRPr="00684653">
        <w:t>Hatti</w:t>
      </w:r>
      <w:proofErr w:type="spellEnd"/>
      <w:r w:rsidRPr="00684653">
        <w:t xml:space="preserve"> ülkesinin güneydoğusunda </w:t>
      </w:r>
      <w:proofErr w:type="spellStart"/>
      <w:r w:rsidRPr="00684653">
        <w:t>Haššu’da</w:t>
      </w:r>
      <w:proofErr w:type="spellEnd"/>
      <w:r w:rsidRPr="00684653">
        <w:t xml:space="preserve"> savaşmış ve </w:t>
      </w:r>
      <w:proofErr w:type="spellStart"/>
      <w:r w:rsidRPr="00684653">
        <w:t>Lawazantiya’da</w:t>
      </w:r>
      <w:proofErr w:type="spellEnd"/>
      <w:r w:rsidRPr="00684653">
        <w:t xml:space="preserve"> çıkan bir isyanla uğraşmıştır. </w:t>
      </w:r>
      <w:proofErr w:type="spellStart"/>
      <w:r w:rsidRPr="00684653">
        <w:t>Hatti</w:t>
      </w:r>
      <w:proofErr w:type="spellEnd"/>
      <w:r w:rsidRPr="00684653">
        <w:t xml:space="preserve"> ülkesinin Anadolu’nun güney ve güneydoğusunda etkinliğini yitirmesi, </w:t>
      </w:r>
      <w:proofErr w:type="spellStart"/>
      <w:r w:rsidRPr="00684653">
        <w:t>Kizzuwatna’nın</w:t>
      </w:r>
      <w:proofErr w:type="spellEnd"/>
      <w:r w:rsidRPr="00684653">
        <w:t xml:space="preserve"> bağımsız bir krallık olarak ortaya çıkmasına neden olmuştur. </w:t>
      </w:r>
      <w:proofErr w:type="spellStart"/>
      <w:r w:rsidRPr="00684653">
        <w:t>Telipinu’nun</w:t>
      </w:r>
      <w:proofErr w:type="spellEnd"/>
      <w:r w:rsidRPr="00684653">
        <w:t xml:space="preserve"> </w:t>
      </w:r>
      <w:proofErr w:type="spellStart"/>
      <w:r w:rsidRPr="00684653">
        <w:t>Kizzuwatna</w:t>
      </w:r>
      <w:proofErr w:type="spellEnd"/>
      <w:r w:rsidRPr="00684653">
        <w:t xml:space="preserve"> kralı </w:t>
      </w:r>
      <w:proofErr w:type="spellStart"/>
      <w:r w:rsidRPr="00684653">
        <w:t>Išputahšu</w:t>
      </w:r>
      <w:proofErr w:type="spellEnd"/>
      <w:r w:rsidRPr="00684653">
        <w:t xml:space="preserve"> ile bir antlaşma yaptığı bilinmektedir. Tarsus’ta da yine </w:t>
      </w:r>
      <w:proofErr w:type="spellStart"/>
      <w:r w:rsidRPr="00684653">
        <w:t>Išputahšu’ya</w:t>
      </w:r>
      <w:proofErr w:type="spellEnd"/>
      <w:r w:rsidRPr="00684653">
        <w:t xml:space="preserve"> ait bir mühür açığa çıkarılmıştır. Adı geçen kral kendini bu mühürde “büyük kral” olarak adlandırmaktadır</w:t>
      </w:r>
      <w:r w:rsidRPr="00684653">
        <w:rPr>
          <w:vertAlign w:val="superscript"/>
        </w:rPr>
        <w:footnoteReference w:id="4"/>
      </w:r>
      <w:r w:rsidRPr="00684653">
        <w:t xml:space="preserve">. Böylece I. </w:t>
      </w:r>
      <w:proofErr w:type="spellStart"/>
      <w:r w:rsidRPr="00684653">
        <w:t>Hattušili</w:t>
      </w:r>
      <w:proofErr w:type="spellEnd"/>
      <w:r w:rsidRPr="00684653">
        <w:t xml:space="preserve"> ve I. </w:t>
      </w:r>
      <w:proofErr w:type="spellStart"/>
      <w:r w:rsidRPr="00684653">
        <w:t>Muršili</w:t>
      </w:r>
      <w:proofErr w:type="spellEnd"/>
      <w:r w:rsidRPr="00684653">
        <w:t xml:space="preserve"> dönemlerinde Hitit egemenliği altında olan </w:t>
      </w:r>
      <w:proofErr w:type="spellStart"/>
      <w:r w:rsidRPr="00684653">
        <w:t>Kizzuwatna</w:t>
      </w:r>
      <w:proofErr w:type="spellEnd"/>
      <w:r w:rsidRPr="00684653">
        <w:t>, artık politik olarak kendini Hitit Devleti ile eşit seviyede kabul etmektedir.</w:t>
      </w:r>
    </w:p>
    <w:p w:rsidR="00684653" w:rsidRPr="00684653" w:rsidRDefault="00684653" w:rsidP="00684653">
      <w:proofErr w:type="spellStart"/>
      <w:r w:rsidRPr="00684653">
        <w:t>Telipinu’dan</w:t>
      </w:r>
      <w:proofErr w:type="spellEnd"/>
      <w:r w:rsidRPr="00684653">
        <w:t xml:space="preserve"> hemen sonraki süreç </w:t>
      </w:r>
      <w:proofErr w:type="spellStart"/>
      <w:r w:rsidRPr="00684653">
        <w:t>Hatti</w:t>
      </w:r>
      <w:proofErr w:type="spellEnd"/>
      <w:r w:rsidRPr="00684653">
        <w:t xml:space="preserve"> ülkesinin yine iç ve dış siyasette en zayıf düştüğü dönemlerden biridir. Belge yetersizliği nedeniyle kralların tahta çıkış sıralamasında dahi belirsizlikler vardır. Ülke içindeki kriz ortamı hem kraliyet ailesi içindeki çekişmeden hem de </w:t>
      </w:r>
      <w:proofErr w:type="spellStart"/>
      <w:r w:rsidRPr="00684653">
        <w:t>Mitanni</w:t>
      </w:r>
      <w:proofErr w:type="spellEnd"/>
      <w:r w:rsidRPr="00684653">
        <w:t xml:space="preserve"> krallığının gücünü artırarak bir zamanlar Hitit egemenliğinde olan topraklar üzerindeki baskısını artırmasından kaynaklanmaktaydı</w:t>
      </w:r>
      <w:r w:rsidRPr="00684653">
        <w:rPr>
          <w:vertAlign w:val="superscript"/>
        </w:rPr>
        <w:footnoteReference w:id="5"/>
      </w:r>
      <w:r w:rsidRPr="00684653">
        <w:t xml:space="preserve">. </w:t>
      </w:r>
      <w:proofErr w:type="spellStart"/>
      <w:r w:rsidRPr="00684653">
        <w:t>Telipinu</w:t>
      </w:r>
      <w:proofErr w:type="spellEnd"/>
      <w:r w:rsidRPr="00684653">
        <w:t xml:space="preserve"> ile I. (I./II.) </w:t>
      </w:r>
      <w:proofErr w:type="spellStart"/>
      <w:r w:rsidRPr="00684653">
        <w:t>Tuthaliya</w:t>
      </w:r>
      <w:proofErr w:type="spellEnd"/>
      <w:r w:rsidRPr="00684653">
        <w:t xml:space="preserve"> arasındaki süreçte </w:t>
      </w:r>
      <w:proofErr w:type="spellStart"/>
      <w:r w:rsidRPr="00684653">
        <w:t>Mitanni</w:t>
      </w:r>
      <w:proofErr w:type="spellEnd"/>
      <w:r w:rsidRPr="00684653">
        <w:t xml:space="preserve"> Devleti, Halep ve </w:t>
      </w:r>
      <w:proofErr w:type="spellStart"/>
      <w:r w:rsidRPr="00684653">
        <w:t>Alalah’ı</w:t>
      </w:r>
      <w:proofErr w:type="spellEnd"/>
      <w:r w:rsidRPr="00684653">
        <w:t xml:space="preserve"> da içine alacak şekilde egemenliğini bütün Kuzey Suriye’de sağlamlaştırdı</w:t>
      </w:r>
      <w:r w:rsidRPr="00684653">
        <w:rPr>
          <w:vertAlign w:val="superscript"/>
        </w:rPr>
        <w:footnoteReference w:id="6"/>
      </w:r>
      <w:r w:rsidRPr="00684653">
        <w:t xml:space="preserve">. </w:t>
      </w:r>
    </w:p>
    <w:p w:rsidR="00580291" w:rsidRPr="00684653" w:rsidRDefault="00580291" w:rsidP="00684653">
      <w:bookmarkStart w:id="0" w:name="_GoBack"/>
      <w:bookmarkEnd w:id="0"/>
    </w:p>
    <w:sectPr w:rsidR="00580291" w:rsidRPr="006846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5B8" w:rsidRDefault="001B75B8" w:rsidP="00451723">
      <w:pPr>
        <w:spacing w:after="0" w:line="240" w:lineRule="auto"/>
      </w:pPr>
      <w:r>
        <w:separator/>
      </w:r>
    </w:p>
  </w:endnote>
  <w:endnote w:type="continuationSeparator" w:id="0">
    <w:p w:rsidR="001B75B8" w:rsidRDefault="001B75B8" w:rsidP="0045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5B8" w:rsidRDefault="001B75B8" w:rsidP="00451723">
      <w:pPr>
        <w:spacing w:after="0" w:line="240" w:lineRule="auto"/>
      </w:pPr>
      <w:r>
        <w:separator/>
      </w:r>
    </w:p>
  </w:footnote>
  <w:footnote w:type="continuationSeparator" w:id="0">
    <w:p w:rsidR="001B75B8" w:rsidRDefault="001B75B8" w:rsidP="00451723">
      <w:pPr>
        <w:spacing w:after="0" w:line="240" w:lineRule="auto"/>
      </w:pPr>
      <w:r>
        <w:continuationSeparator/>
      </w:r>
    </w:p>
  </w:footnote>
  <w:footnote w:id="1">
    <w:p w:rsidR="00684653" w:rsidRDefault="00684653" w:rsidP="00684653">
      <w:pPr>
        <w:pStyle w:val="DipnotMetni"/>
        <w:jc w:val="both"/>
        <w:rPr>
          <w:rFonts w:asciiTheme="minorHAnsi" w:hAnsiTheme="minorHAnsi" w:cstheme="minorHAnsi"/>
        </w:rPr>
      </w:pPr>
      <w:r>
        <w:rPr>
          <w:rStyle w:val="DipnotBavurusu"/>
          <w:rFonts w:asciiTheme="minorHAnsi" w:hAnsiTheme="minorHAnsi" w:cstheme="minorHAnsi"/>
        </w:rPr>
        <w:footnoteRef/>
      </w:r>
      <w:r>
        <w:rPr>
          <w:rFonts w:asciiTheme="minorHAnsi" w:hAnsiTheme="minorHAnsi" w:cstheme="minorHAnsi"/>
        </w:rPr>
        <w:t xml:space="preserve"> </w:t>
      </w:r>
      <w:proofErr w:type="spellStart"/>
      <w:r>
        <w:rPr>
          <w:rFonts w:asciiTheme="minorHAnsi" w:hAnsiTheme="minorHAnsi" w:cstheme="minorHAnsi"/>
        </w:rPr>
        <w:t>Bryce</w:t>
      </w:r>
      <w:proofErr w:type="spellEnd"/>
      <w:r>
        <w:rPr>
          <w:rFonts w:asciiTheme="minorHAnsi" w:hAnsiTheme="minorHAnsi" w:cstheme="minorHAnsi"/>
        </w:rPr>
        <w:t>, 2005, 97-98</w:t>
      </w:r>
    </w:p>
  </w:footnote>
  <w:footnote w:id="2">
    <w:p w:rsidR="00684653" w:rsidRDefault="00684653" w:rsidP="00684653">
      <w:pPr>
        <w:pStyle w:val="DipnotMetni"/>
        <w:jc w:val="both"/>
        <w:rPr>
          <w:rFonts w:asciiTheme="minorHAnsi" w:hAnsiTheme="minorHAnsi" w:cstheme="minorHAnsi"/>
        </w:rPr>
      </w:pPr>
      <w:r>
        <w:rPr>
          <w:rStyle w:val="DipnotBavurusu"/>
          <w:rFonts w:asciiTheme="minorHAnsi" w:hAnsiTheme="minorHAnsi" w:cstheme="minorHAnsi"/>
        </w:rPr>
        <w:footnoteRef/>
      </w:r>
      <w:r>
        <w:rPr>
          <w:rFonts w:asciiTheme="minorHAnsi" w:hAnsiTheme="minorHAnsi" w:cstheme="minorHAnsi"/>
        </w:rPr>
        <w:t xml:space="preserve"> De </w:t>
      </w:r>
      <w:proofErr w:type="spellStart"/>
      <w:r>
        <w:rPr>
          <w:rFonts w:asciiTheme="minorHAnsi" w:hAnsiTheme="minorHAnsi" w:cstheme="minorHAnsi"/>
        </w:rPr>
        <w:t>Martino</w:t>
      </w:r>
      <w:proofErr w:type="spellEnd"/>
      <w:r>
        <w:rPr>
          <w:rFonts w:asciiTheme="minorHAnsi" w:hAnsiTheme="minorHAnsi" w:cstheme="minorHAnsi"/>
        </w:rPr>
        <w:t>, 2006, 41</w:t>
      </w:r>
    </w:p>
  </w:footnote>
  <w:footnote w:id="3">
    <w:p w:rsidR="00684653" w:rsidRDefault="00684653" w:rsidP="00684653">
      <w:pPr>
        <w:pStyle w:val="DipnotMetni"/>
        <w:jc w:val="both"/>
        <w:rPr>
          <w:rFonts w:asciiTheme="minorHAnsi" w:hAnsiTheme="minorHAnsi" w:cstheme="minorHAnsi"/>
        </w:rPr>
      </w:pPr>
      <w:r>
        <w:rPr>
          <w:rStyle w:val="DipnotBavurusu"/>
          <w:rFonts w:ascii="Times New Roman" w:hAnsi="Times New Roman"/>
          <w:sz w:val="24"/>
          <w:szCs w:val="24"/>
        </w:rPr>
        <w:footnoteRef/>
      </w:r>
      <w:r>
        <w:rPr>
          <w:rFonts w:ascii="Times New Roman" w:hAnsi="Times New Roman"/>
          <w:sz w:val="24"/>
          <w:szCs w:val="24"/>
        </w:rPr>
        <w:t xml:space="preserve"> </w:t>
      </w:r>
      <w:proofErr w:type="spellStart"/>
      <w:r>
        <w:rPr>
          <w:rFonts w:asciiTheme="minorHAnsi" w:hAnsiTheme="minorHAnsi" w:cstheme="minorHAnsi"/>
        </w:rPr>
        <w:t>Bryce</w:t>
      </w:r>
      <w:proofErr w:type="spellEnd"/>
      <w:r>
        <w:rPr>
          <w:rFonts w:asciiTheme="minorHAnsi" w:hAnsiTheme="minorHAnsi" w:cstheme="minorHAnsi"/>
        </w:rPr>
        <w:t>, 2005, 102</w:t>
      </w:r>
    </w:p>
  </w:footnote>
  <w:footnote w:id="4">
    <w:p w:rsidR="00684653" w:rsidRDefault="00684653" w:rsidP="00684653">
      <w:pPr>
        <w:pStyle w:val="DipnotMetni"/>
        <w:jc w:val="both"/>
        <w:rPr>
          <w:rFonts w:ascii="Times New Roman" w:hAnsi="Times New Roman"/>
          <w:sz w:val="24"/>
          <w:szCs w:val="24"/>
        </w:rPr>
      </w:pPr>
      <w:r>
        <w:rPr>
          <w:rStyle w:val="DipnotBavurusu"/>
          <w:rFonts w:asciiTheme="minorHAnsi" w:hAnsiTheme="minorHAnsi" w:cstheme="minorHAnsi"/>
        </w:rPr>
        <w:footnoteRef/>
      </w:r>
      <w:r>
        <w:rPr>
          <w:rFonts w:asciiTheme="minorHAnsi" w:hAnsiTheme="minorHAnsi" w:cstheme="minorHAnsi"/>
        </w:rPr>
        <w:t xml:space="preserve"> </w:t>
      </w:r>
      <w:proofErr w:type="spellStart"/>
      <w:r>
        <w:rPr>
          <w:rFonts w:asciiTheme="minorHAnsi" w:hAnsiTheme="minorHAnsi" w:cstheme="minorHAnsi"/>
        </w:rPr>
        <w:t>Bryce</w:t>
      </w:r>
      <w:proofErr w:type="spellEnd"/>
      <w:r>
        <w:rPr>
          <w:rFonts w:asciiTheme="minorHAnsi" w:hAnsiTheme="minorHAnsi" w:cstheme="minorHAnsi"/>
        </w:rPr>
        <w:t>, 2005, 104-107</w:t>
      </w:r>
    </w:p>
  </w:footnote>
  <w:footnote w:id="5">
    <w:p w:rsidR="00684653" w:rsidRDefault="00684653" w:rsidP="00684653">
      <w:pPr>
        <w:pStyle w:val="DipnotMetni"/>
        <w:jc w:val="both"/>
        <w:rPr>
          <w:rFonts w:asciiTheme="minorHAnsi" w:hAnsiTheme="minorHAnsi" w:cstheme="minorHAnsi"/>
        </w:rPr>
      </w:pPr>
      <w:r>
        <w:rPr>
          <w:rStyle w:val="DipnotBavurusu"/>
          <w:rFonts w:asciiTheme="majorHAnsi" w:hAnsiTheme="majorHAnsi" w:cstheme="majorHAnsi"/>
        </w:rPr>
        <w:footnoteRef/>
      </w:r>
      <w:r>
        <w:rPr>
          <w:rFonts w:asciiTheme="majorHAnsi" w:hAnsiTheme="majorHAnsi" w:cstheme="majorHAnsi"/>
        </w:rPr>
        <w:t xml:space="preserve"> </w:t>
      </w:r>
      <w:proofErr w:type="spellStart"/>
      <w:r>
        <w:rPr>
          <w:rFonts w:asciiTheme="minorHAnsi" w:hAnsiTheme="minorHAnsi" w:cstheme="minorHAnsi"/>
        </w:rPr>
        <w:t>Bryce</w:t>
      </w:r>
      <w:proofErr w:type="spellEnd"/>
      <w:r>
        <w:rPr>
          <w:rFonts w:asciiTheme="minorHAnsi" w:hAnsiTheme="minorHAnsi" w:cstheme="minorHAnsi"/>
        </w:rPr>
        <w:t>, 2005, 111-122</w:t>
      </w:r>
    </w:p>
  </w:footnote>
  <w:footnote w:id="6">
    <w:p w:rsidR="00684653" w:rsidRDefault="00684653" w:rsidP="00684653">
      <w:pPr>
        <w:pStyle w:val="DipnotMetni"/>
        <w:jc w:val="both"/>
        <w:rPr>
          <w:rFonts w:ascii="Times New Roman" w:hAnsi="Times New Roman"/>
          <w:sz w:val="24"/>
          <w:szCs w:val="24"/>
        </w:rPr>
      </w:pPr>
      <w:r>
        <w:rPr>
          <w:rStyle w:val="DipnotBavurusu"/>
          <w:rFonts w:asciiTheme="minorHAnsi" w:hAnsiTheme="minorHAnsi" w:cstheme="minorHAnsi"/>
        </w:rPr>
        <w:footnoteRef/>
      </w:r>
      <w:r>
        <w:rPr>
          <w:rFonts w:asciiTheme="minorHAnsi" w:hAnsiTheme="minorHAnsi" w:cstheme="minorHAnsi"/>
        </w:rPr>
        <w:t xml:space="preserve"> </w:t>
      </w:r>
      <w:proofErr w:type="spellStart"/>
      <w:r>
        <w:rPr>
          <w:rFonts w:asciiTheme="minorHAnsi" w:hAnsiTheme="minorHAnsi" w:cstheme="minorHAnsi"/>
        </w:rPr>
        <w:t>Collins</w:t>
      </w:r>
      <w:proofErr w:type="spellEnd"/>
      <w:r>
        <w:rPr>
          <w:rFonts w:asciiTheme="minorHAnsi" w:hAnsiTheme="minorHAnsi" w:cstheme="minorHAnsi"/>
        </w:rPr>
        <w:t>, 2007, 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02"/>
    <w:rsid w:val="00062AE0"/>
    <w:rsid w:val="001B75B8"/>
    <w:rsid w:val="002206FB"/>
    <w:rsid w:val="00371796"/>
    <w:rsid w:val="003D164E"/>
    <w:rsid w:val="00451723"/>
    <w:rsid w:val="00524E02"/>
    <w:rsid w:val="00580291"/>
    <w:rsid w:val="00684653"/>
    <w:rsid w:val="006C76A7"/>
    <w:rsid w:val="006C7DA5"/>
    <w:rsid w:val="007800F2"/>
    <w:rsid w:val="00B20E72"/>
    <w:rsid w:val="00E62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02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0291"/>
    <w:rPr>
      <w:rFonts w:ascii="Tahoma" w:hAnsi="Tahoma" w:cs="Tahoma"/>
      <w:sz w:val="16"/>
      <w:szCs w:val="16"/>
    </w:rPr>
  </w:style>
  <w:style w:type="paragraph" w:styleId="DipnotMetni">
    <w:name w:val="footnote text"/>
    <w:basedOn w:val="Normal"/>
    <w:link w:val="DipnotMetniChar"/>
    <w:uiPriority w:val="99"/>
    <w:semiHidden/>
    <w:unhideWhenUsed/>
    <w:rsid w:val="00451723"/>
    <w:pPr>
      <w:spacing w:after="0" w:line="240"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semiHidden/>
    <w:rsid w:val="00451723"/>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4517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02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0291"/>
    <w:rPr>
      <w:rFonts w:ascii="Tahoma" w:hAnsi="Tahoma" w:cs="Tahoma"/>
      <w:sz w:val="16"/>
      <w:szCs w:val="16"/>
    </w:rPr>
  </w:style>
  <w:style w:type="paragraph" w:styleId="DipnotMetni">
    <w:name w:val="footnote text"/>
    <w:basedOn w:val="Normal"/>
    <w:link w:val="DipnotMetniChar"/>
    <w:uiPriority w:val="99"/>
    <w:semiHidden/>
    <w:unhideWhenUsed/>
    <w:rsid w:val="00451723"/>
    <w:pPr>
      <w:spacing w:after="0" w:line="240"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semiHidden/>
    <w:rsid w:val="00451723"/>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451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38524">
      <w:bodyDiv w:val="1"/>
      <w:marLeft w:val="0"/>
      <w:marRight w:val="0"/>
      <w:marTop w:val="0"/>
      <w:marBottom w:val="0"/>
      <w:divBdr>
        <w:top w:val="none" w:sz="0" w:space="0" w:color="auto"/>
        <w:left w:val="none" w:sz="0" w:space="0" w:color="auto"/>
        <w:bottom w:val="none" w:sz="0" w:space="0" w:color="auto"/>
        <w:right w:val="none" w:sz="0" w:space="0" w:color="auto"/>
      </w:divBdr>
    </w:div>
    <w:div w:id="833953845">
      <w:bodyDiv w:val="1"/>
      <w:marLeft w:val="0"/>
      <w:marRight w:val="0"/>
      <w:marTop w:val="0"/>
      <w:marBottom w:val="0"/>
      <w:divBdr>
        <w:top w:val="none" w:sz="0" w:space="0" w:color="auto"/>
        <w:left w:val="none" w:sz="0" w:space="0" w:color="auto"/>
        <w:bottom w:val="none" w:sz="0" w:space="0" w:color="auto"/>
        <w:right w:val="none" w:sz="0" w:space="0" w:color="auto"/>
      </w:divBdr>
    </w:div>
    <w:div w:id="884831797">
      <w:bodyDiv w:val="1"/>
      <w:marLeft w:val="0"/>
      <w:marRight w:val="0"/>
      <w:marTop w:val="0"/>
      <w:marBottom w:val="0"/>
      <w:divBdr>
        <w:top w:val="none" w:sz="0" w:space="0" w:color="auto"/>
        <w:left w:val="none" w:sz="0" w:space="0" w:color="auto"/>
        <w:bottom w:val="none" w:sz="0" w:space="0" w:color="auto"/>
        <w:right w:val="none" w:sz="0" w:space="0" w:color="auto"/>
      </w:divBdr>
    </w:div>
    <w:div w:id="1485512045">
      <w:bodyDiv w:val="1"/>
      <w:marLeft w:val="0"/>
      <w:marRight w:val="0"/>
      <w:marTop w:val="0"/>
      <w:marBottom w:val="0"/>
      <w:divBdr>
        <w:top w:val="none" w:sz="0" w:space="0" w:color="auto"/>
        <w:left w:val="none" w:sz="0" w:space="0" w:color="auto"/>
        <w:bottom w:val="none" w:sz="0" w:space="0" w:color="auto"/>
        <w:right w:val="none" w:sz="0" w:space="0" w:color="auto"/>
      </w:divBdr>
    </w:div>
    <w:div w:id="1882478926">
      <w:bodyDiv w:val="1"/>
      <w:marLeft w:val="0"/>
      <w:marRight w:val="0"/>
      <w:marTop w:val="0"/>
      <w:marBottom w:val="0"/>
      <w:divBdr>
        <w:top w:val="none" w:sz="0" w:space="0" w:color="auto"/>
        <w:left w:val="none" w:sz="0" w:space="0" w:color="auto"/>
        <w:bottom w:val="none" w:sz="0" w:space="0" w:color="auto"/>
        <w:right w:val="none" w:sz="0" w:space="0" w:color="auto"/>
      </w:divBdr>
    </w:div>
    <w:div w:id="21064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OSMAN</dc:creator>
  <cp:lastModifiedBy>ALİ OSMAN</cp:lastModifiedBy>
  <cp:revision>2</cp:revision>
  <dcterms:created xsi:type="dcterms:W3CDTF">2020-05-10T19:12:00Z</dcterms:created>
  <dcterms:modified xsi:type="dcterms:W3CDTF">2020-05-10T19:12:00Z</dcterms:modified>
</cp:coreProperties>
</file>