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1D48C7">
        <w:rPr>
          <w:b/>
          <w:sz w:val="36"/>
          <w:szCs w:val="36"/>
        </w:rPr>
        <w:t>TEŞBİH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Aralarında nitelik bakımından bir veya birden fazla benzerlik bulunan iki şeyden birini diğerine benzetmeye denir. Buna göre teşbih 4 unsurdan (erkân-ı teşbih) oluşur.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b/>
          <w:sz w:val="32"/>
          <w:szCs w:val="32"/>
        </w:rPr>
        <w:t>1. Müşebbeh (Benzetilen):</w:t>
      </w:r>
      <w:r w:rsidRPr="001D48C7">
        <w:rPr>
          <w:b/>
          <w:sz w:val="28"/>
          <w:szCs w:val="28"/>
        </w:rPr>
        <w:t xml:space="preserve"> </w:t>
      </w:r>
      <w:r w:rsidRPr="001D48C7">
        <w:rPr>
          <w:sz w:val="28"/>
          <w:szCs w:val="28"/>
        </w:rPr>
        <w:t>Nitelik bakımından birbiriyle mukayese edilen iki unsurdan söz konusu nitelik bakımından güçsüz olan taraftır. Yani nitelikçe güçlü olana benzetilen unsurdur.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1D48C7">
        <w:rPr>
          <w:b/>
          <w:sz w:val="32"/>
          <w:szCs w:val="32"/>
        </w:rPr>
        <w:t>2. Müşebbehün bih (Benzetmelik):</w:t>
      </w:r>
      <w:r w:rsidRPr="001D48C7">
        <w:rPr>
          <w:b/>
          <w:sz w:val="28"/>
          <w:szCs w:val="28"/>
        </w:rPr>
        <w:t xml:space="preserve"> </w:t>
      </w:r>
      <w:r w:rsidRPr="001D48C7">
        <w:rPr>
          <w:sz w:val="28"/>
          <w:szCs w:val="28"/>
        </w:rPr>
        <w:t>Birbiriyle mukayese edilen iki unsurdan, mukayeseye konu olan nitelik bakımından üstün olan taraftır. Yani nitelikçe zayıf olanın benzetildiği unsurdur.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b/>
          <w:sz w:val="32"/>
          <w:szCs w:val="32"/>
        </w:rPr>
        <w:t>3. Vech-i şebeh (Benzetme yönü):</w:t>
      </w:r>
      <w:r w:rsidRPr="001D48C7">
        <w:rPr>
          <w:b/>
          <w:sz w:val="28"/>
          <w:szCs w:val="28"/>
        </w:rPr>
        <w:t xml:space="preserve"> </w:t>
      </w:r>
      <w:r w:rsidRPr="001D48C7">
        <w:rPr>
          <w:sz w:val="28"/>
          <w:szCs w:val="28"/>
        </w:rPr>
        <w:t>Birbirine benzetilen şeyler arasındaki ortak ilgi ve benzerliğe denir. Bir benzetmede benzetme yönü (vech-i şebeh), bir veya birden fazla olabilir.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48C7">
        <w:rPr>
          <w:sz w:val="28"/>
          <w:szCs w:val="28"/>
        </w:rPr>
        <w:t xml:space="preserve">Divan şiirinde orijinalliğin aranması gereken yer burasıdır. 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 xml:space="preserve">Benzetme yönü, nitelik bakımından 4 türlü olur. Bunlar 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 xml:space="preserve">Aklî (Ussal): Akıl ve mantık ölçüleriyle anlaşılabilen benzerlik. 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Hissî (Duyusal): Beş duyu ile anlaşılabilen benzerlik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Hayâlî (İmgesel): Ancak hayal gücüyle kavranabilen benzerlik.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 xml:space="preserve">Vehmî (Düşsel, gerçek olmayan, olduğu varsayılan) </w:t>
      </w:r>
    </w:p>
    <w:p w:rsidR="001D48C7" w:rsidRPr="001D48C7" w:rsidRDefault="001D48C7" w:rsidP="001D48C7">
      <w:pPr>
        <w:autoSpaceDE w:val="0"/>
        <w:autoSpaceDN w:val="0"/>
        <w:adjustRightInd w:val="0"/>
        <w:spacing w:before="120" w:line="360" w:lineRule="auto"/>
        <w:ind w:firstLine="567"/>
        <w:jc w:val="both"/>
        <w:rPr>
          <w:sz w:val="28"/>
          <w:szCs w:val="28"/>
        </w:rPr>
      </w:pPr>
      <w:r w:rsidRPr="001D48C7">
        <w:rPr>
          <w:b/>
          <w:sz w:val="32"/>
          <w:szCs w:val="32"/>
        </w:rPr>
        <w:lastRenderedPageBreak/>
        <w:t>4. Edat-ı teşbih (Benzetme edatı):</w:t>
      </w:r>
      <w:r w:rsidRPr="001D48C7">
        <w:rPr>
          <w:b/>
          <w:sz w:val="28"/>
          <w:szCs w:val="28"/>
        </w:rPr>
        <w:t xml:space="preserve"> </w:t>
      </w:r>
      <w:r w:rsidRPr="001D48C7">
        <w:rPr>
          <w:sz w:val="28"/>
          <w:szCs w:val="28"/>
        </w:rPr>
        <w:t>Taraflar arasındaki benzerliği ifade eden söz, teşbih edatıdır. Türk edebiyatında edatlar dışında, başka gramer kategorisine giren kelimeler de bu amaçla kullanılmıştır.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Türkçe Teşbih Edatları: Gibi, bigi, kimi, tek, nitekim/niteki, sanki, kadar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Türkçe Fiil ve Ekler: Dönmek, benzemek, sanmak, demek, andırmak; -casına cesine, -cıleyin/-cilayın, layın/-leyin vb.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Farsça Edat ve Ekler: Meger/meger ki, gûyâ, gûne/gûnâ, mânend, çü/çün, -veş, -âsâ, -vâr vb.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Arapça Edat ve Ekler: Tıbkı, misl, misilli, misâl, sıfat, âdetâ vb.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b/>
          <w:sz w:val="28"/>
          <w:szCs w:val="28"/>
        </w:rPr>
        <w:t>Örnek</w:t>
      </w:r>
      <w:r w:rsidRPr="001D48C7">
        <w:rPr>
          <w:sz w:val="28"/>
          <w:szCs w:val="28"/>
        </w:rPr>
        <w:t>: Göç eden kuşlar gibi gidip gelir umutlarım.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Umutlarım (müşebbeh)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Göç eden kuşlar (müşebbehün bih)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Gibi (edat-ı teşbih)</w:t>
      </w:r>
    </w:p>
    <w:p w:rsid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gidip gelir (vech-i şebeh)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İnsanlar eşitlik bakımından tarağın dişleri gibidir.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“Duaya açılan avuçlarım, fırtınada ters çevrilen şemsiyelere benzerdi” Didem Madak</w:t>
      </w:r>
    </w:p>
    <w:p w:rsid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left="567"/>
        <w:jc w:val="both"/>
        <w:rPr>
          <w:color w:val="141823"/>
          <w:sz w:val="28"/>
          <w:szCs w:val="28"/>
          <w:shd w:val="clear" w:color="auto" w:fill="FFFFFF"/>
        </w:rPr>
      </w:pPr>
      <w:r w:rsidRPr="001D48C7">
        <w:rPr>
          <w:color w:val="141823"/>
          <w:sz w:val="28"/>
          <w:szCs w:val="28"/>
          <w:shd w:val="clear" w:color="auto" w:fill="FFFFFF"/>
        </w:rPr>
        <w:lastRenderedPageBreak/>
        <w:t>YAĞMUR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left="567"/>
        <w:jc w:val="both"/>
        <w:rPr>
          <w:rStyle w:val="apple-converted-space"/>
          <w:color w:val="141823"/>
          <w:sz w:val="28"/>
          <w:szCs w:val="28"/>
          <w:shd w:val="clear" w:color="auto" w:fill="FFFFFF"/>
        </w:rPr>
      </w:pPr>
      <w:r w:rsidRPr="001D48C7">
        <w:rPr>
          <w:color w:val="141823"/>
          <w:sz w:val="28"/>
          <w:szCs w:val="28"/>
          <w:shd w:val="clear" w:color="auto" w:fill="FFFFFF"/>
        </w:rPr>
        <w:t>Bugün yağmur bir kadın saçıdır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pple-converted-space"/>
          <w:color w:val="141823"/>
          <w:sz w:val="28"/>
          <w:szCs w:val="28"/>
          <w:shd w:val="clear" w:color="auto" w:fill="FFFFFF"/>
        </w:rPr>
      </w:pPr>
      <w:r w:rsidRPr="001D48C7">
        <w:rPr>
          <w:color w:val="141823"/>
          <w:sz w:val="28"/>
          <w:szCs w:val="28"/>
          <w:shd w:val="clear" w:color="auto" w:fill="FFFFFF"/>
        </w:rPr>
        <w:t>Yeryüzüne dökülen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textexposedshow"/>
          <w:color w:val="141823"/>
          <w:sz w:val="28"/>
          <w:szCs w:val="28"/>
          <w:shd w:val="clear" w:color="auto" w:fill="FFFFFF"/>
        </w:rPr>
      </w:pPr>
      <w:r w:rsidRPr="001D48C7">
        <w:rPr>
          <w:rStyle w:val="textexposedshow"/>
          <w:color w:val="141823"/>
          <w:sz w:val="28"/>
          <w:szCs w:val="28"/>
          <w:shd w:val="clear" w:color="auto" w:fill="FFFFFF"/>
        </w:rPr>
        <w:t>Upuzun, ince ince, karanlık kokulu</w:t>
      </w:r>
      <w:r w:rsidRPr="001D48C7">
        <w:rPr>
          <w:rStyle w:val="textexposedshow"/>
          <w:color w:val="141823"/>
          <w:sz w:val="28"/>
          <w:szCs w:val="28"/>
          <w:shd w:val="clear" w:color="auto" w:fill="FFFFFF"/>
        </w:rPr>
        <w:tab/>
        <w:t>/Arthur Lunkwist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Turkish Transcription" w:hAnsi="Times Turkish Transcription" w:cs="Times Turkish Transcription"/>
          <w:b/>
          <w:sz w:val="28"/>
          <w:szCs w:val="28"/>
        </w:rPr>
      </w:pPr>
    </w:p>
    <w:p w:rsidR="001D48C7" w:rsidRPr="001D48C7" w:rsidRDefault="001D48C7" w:rsidP="001D48C7">
      <w:pPr>
        <w:autoSpaceDE w:val="0"/>
        <w:autoSpaceDN w:val="0"/>
        <w:adjustRightInd w:val="0"/>
        <w:spacing w:before="120" w:line="360" w:lineRule="auto"/>
        <w:ind w:firstLine="567"/>
        <w:jc w:val="both"/>
        <w:rPr>
          <w:sz w:val="28"/>
          <w:szCs w:val="28"/>
        </w:rPr>
      </w:pPr>
      <w:r w:rsidRPr="001D48C7">
        <w:rPr>
          <w:b/>
          <w:sz w:val="32"/>
          <w:szCs w:val="32"/>
        </w:rPr>
        <w:t>Teşbih-i Beliğ:</w:t>
      </w:r>
      <w:r w:rsidRPr="001D48C7">
        <w:rPr>
          <w:sz w:val="28"/>
          <w:szCs w:val="28"/>
        </w:rPr>
        <w:t xml:space="preserve"> Teşbih edatı ve vech-i şebehin söylenmediği, yalnızca müşebbeh ve müşebbehün bih ile oluşan teşbihtir.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48C7">
        <w:rPr>
          <w:sz w:val="28"/>
          <w:szCs w:val="28"/>
        </w:rPr>
        <w:t>Örnek: Zeynep peridir.</w:t>
      </w:r>
    </w:p>
    <w:p w:rsidR="001D48C7" w:rsidRPr="001D48C7" w:rsidRDefault="001D48C7" w:rsidP="001D48C7">
      <w:pPr>
        <w:autoSpaceDE w:val="0"/>
        <w:autoSpaceDN w:val="0"/>
        <w:adjustRightInd w:val="0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Gözyaşı encümini reh-ber idinmezse eger</w:t>
      </w:r>
    </w:p>
    <w:p w:rsidR="001D48C7" w:rsidRPr="001D48C7" w:rsidRDefault="001D48C7" w:rsidP="001D48C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Şeb-i ġamda iremez Ǿāşıķ-ı güm-rāh saña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  <w:t>Necati</w:t>
      </w: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Var iken yüzüñ güle meyl eylemez dil bülbüli</w:t>
      </w: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ǾĀrife bir gül yiter lāzım degül tekrār gül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</w:r>
      <w:r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>Necati</w:t>
      </w: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Çihre gül sįne semen çeşm-i mukaĥĥal nergis</w:t>
      </w: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Ħaŧ çemen ġonce dehen caǾd-ı muǾanber sünbül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  <w:t>Baki</w:t>
      </w:r>
    </w:p>
    <w:p w:rsidR="001D48C7" w:rsidRPr="001D48C7" w:rsidRDefault="001D48C7" w:rsidP="001D48C7">
      <w:pPr>
        <w:ind w:firstLine="567"/>
        <w:rPr>
          <w:rFonts w:ascii="Times Turkish Transcription" w:hAnsi="Times Turkish Transcription" w:cs="Times Turkish Transcription"/>
          <w:b/>
          <w:sz w:val="28"/>
          <w:szCs w:val="28"/>
        </w:rPr>
      </w:pPr>
    </w:p>
    <w:p w:rsidR="001D48C7" w:rsidRPr="001D48C7" w:rsidRDefault="001D48C7" w:rsidP="001D48C7">
      <w:pPr>
        <w:ind w:firstLine="567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Fülk-i dil 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 xml:space="preserve">her dem sefer ķılmaġa </w:t>
      </w:r>
      <w:r w:rsidRPr="001D48C7">
        <w:rPr>
          <w:rFonts w:ascii="Times Turkish Transcription" w:hAnsi="Times Turkish Transcription" w:cs="Times Turkish Transcription"/>
          <w:b/>
          <w:sz w:val="28"/>
          <w:szCs w:val="28"/>
        </w:rPr>
        <w:t>zülfüñ Hind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>’ine</w:t>
      </w:r>
    </w:p>
    <w:p w:rsidR="001D48C7" w:rsidRPr="001D48C7" w:rsidRDefault="001D48C7" w:rsidP="001D48C7">
      <w:pPr>
        <w:ind w:firstLine="567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b/>
          <w:sz w:val="28"/>
          <w:szCs w:val="28"/>
        </w:rPr>
        <w:t>Bād-ı āh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>umla gözümüñ yaşların deryā ķılam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  <w:t>Ahmet Paşa</w:t>
      </w:r>
    </w:p>
    <w:p w:rsidR="001D48C7" w:rsidRPr="001D48C7" w:rsidRDefault="001D48C7" w:rsidP="001D48C7">
      <w:pPr>
        <w:ind w:firstLine="567"/>
        <w:rPr>
          <w:rFonts w:ascii="Times Turkish Transcription" w:hAnsi="Times Turkish Transcription" w:cs="Times Turkish Transcription"/>
          <w:sz w:val="28"/>
          <w:szCs w:val="28"/>
        </w:rPr>
      </w:pPr>
    </w:p>
    <w:p w:rsid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</w:p>
    <w:p w:rsid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</w:p>
    <w:p w:rsid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lastRenderedPageBreak/>
        <w:t>Boyuñ ŧūbā lebüñdür āb-ı Kevŝer</w:t>
      </w: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Özüñ ĥūrį yüzüñ bāġ-ı İrem’dür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</w:r>
      <w:r>
        <w:rPr>
          <w:rFonts w:ascii="Times Turkish Transcription" w:hAnsi="Times Turkish Transcription" w:cs="Times Turkish Transcription"/>
          <w:sz w:val="28"/>
          <w:szCs w:val="28"/>
        </w:rPr>
        <w:tab/>
      </w:r>
      <w:r>
        <w:rPr>
          <w:rFonts w:ascii="Times Turkish Transcription" w:hAnsi="Times Turkish Transcription" w:cs="Times Turkish Transcription"/>
          <w:sz w:val="28"/>
          <w:szCs w:val="28"/>
        </w:rPr>
        <w:tab/>
      </w:r>
      <w:r>
        <w:rPr>
          <w:rFonts w:ascii="Times Turkish Transcription" w:hAnsi="Times Turkish Transcription" w:cs="Times Turkish Transcription"/>
          <w:sz w:val="28"/>
          <w:szCs w:val="28"/>
        </w:rPr>
        <w:tab/>
      </w:r>
      <w:bookmarkStart w:id="0" w:name="_GoBack"/>
      <w:bookmarkEnd w:id="0"/>
      <w:r w:rsidRPr="001D48C7">
        <w:rPr>
          <w:rFonts w:ascii="Times Turkish Transcription" w:hAnsi="Times Turkish Transcription" w:cs="Times Turkish Transcription"/>
          <w:sz w:val="28"/>
          <w:szCs w:val="28"/>
        </w:rPr>
        <w:t>Nizami</w:t>
      </w: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Gül āteş gül-bün āteş gülşen āteş cūybār āteş</w:t>
      </w:r>
    </w:p>
    <w:p w:rsidR="001D48C7" w:rsidRPr="001D48C7" w:rsidRDefault="001D48C7" w:rsidP="001D48C7">
      <w:pPr>
        <w:autoSpaceDE w:val="0"/>
        <w:autoSpaceDN w:val="0"/>
        <w:adjustRightInd w:val="0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Semender-ŧıynetān-ı Ǿaşķa besdür lālezār āteş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  <w:t>Ş.Galib</w:t>
      </w:r>
    </w:p>
    <w:p w:rsidR="001D48C7" w:rsidRPr="001D48C7" w:rsidRDefault="001D48C7" w:rsidP="001D48C7">
      <w:pPr>
        <w:ind w:firstLine="567"/>
        <w:rPr>
          <w:rFonts w:ascii="Times Turkish Transcription" w:hAnsi="Times Turkish Transcription" w:cs="Times Turkish Transcription"/>
          <w:sz w:val="28"/>
          <w:szCs w:val="28"/>
        </w:rPr>
      </w:pPr>
    </w:p>
    <w:p w:rsidR="001D48C7" w:rsidRPr="001D48C7" w:rsidRDefault="001D48C7" w:rsidP="001D48C7">
      <w:pPr>
        <w:tabs>
          <w:tab w:val="left" w:pos="650"/>
        </w:tabs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Mey-ħāne gülsitāndır peymāne gül-feşāndır</w:t>
      </w:r>
    </w:p>
    <w:p w:rsidR="00156004" w:rsidRPr="001D48C7" w:rsidRDefault="001D48C7" w:rsidP="001D48C7">
      <w:pPr>
        <w:ind w:firstLine="567"/>
        <w:rPr>
          <w:sz w:val="28"/>
          <w:szCs w:val="28"/>
        </w:rPr>
      </w:pPr>
      <w:r w:rsidRPr="001D48C7">
        <w:rPr>
          <w:rFonts w:ascii="Times Turkish Transcription" w:hAnsi="Times Turkish Transcription" w:cs="Times Turkish Transcription"/>
          <w:sz w:val="28"/>
          <w:szCs w:val="28"/>
        </w:rPr>
        <w:t>Sāķį nihāl-i şūħu muŧrib hezār-ı zārı</w:t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ab/>
      </w:r>
      <w:r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1D48C7">
        <w:rPr>
          <w:rFonts w:ascii="Times Turkish Transcription" w:hAnsi="Times Turkish Transcription" w:cs="Times Turkish Transcription"/>
          <w:sz w:val="28"/>
          <w:szCs w:val="28"/>
        </w:rPr>
        <w:t>Namık Kemal</w:t>
      </w:r>
    </w:p>
    <w:sectPr w:rsidR="00156004" w:rsidRPr="001D48C7" w:rsidSect="001D48C7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C7"/>
    <w:rsid w:val="00156004"/>
    <w:rsid w:val="001D48C7"/>
    <w:rsid w:val="00764A60"/>
    <w:rsid w:val="00B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472F"/>
  <w15:chartTrackingRefBased/>
  <w15:docId w15:val="{BD22E75D-6AA9-4E1A-9966-01A6A3F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48C7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D48C7"/>
  </w:style>
  <w:style w:type="character" w:customStyle="1" w:styleId="textexposedshow">
    <w:name w:val="text_exposed_show"/>
    <w:basedOn w:val="VarsaylanParagrafYazTipi"/>
    <w:rsid w:val="001D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2020-05-10T12:15:00Z</dcterms:created>
  <dcterms:modified xsi:type="dcterms:W3CDTF">2020-05-10T12:19:00Z</dcterms:modified>
</cp:coreProperties>
</file>