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F84" w:rsidRPr="00472F84" w:rsidRDefault="00472F84" w:rsidP="00472F84">
      <w:pPr>
        <w:tabs>
          <w:tab w:val="center" w:pos="4819"/>
        </w:tabs>
        <w:spacing w:before="120" w:line="480" w:lineRule="auto"/>
        <w:ind w:firstLine="567"/>
        <w:jc w:val="both"/>
        <w:rPr>
          <w:b/>
          <w:sz w:val="28"/>
          <w:szCs w:val="28"/>
        </w:rPr>
      </w:pPr>
      <w:bookmarkStart w:id="0" w:name="_GoBack"/>
      <w:r w:rsidRPr="00472F84">
        <w:rPr>
          <w:b/>
          <w:sz w:val="32"/>
          <w:szCs w:val="32"/>
        </w:rPr>
        <w:t>XVI. YÜZYILDA EDEBİ DURUM</w:t>
      </w:r>
      <w:bookmarkEnd w:id="0"/>
    </w:p>
    <w:p w:rsidR="00472F84" w:rsidRPr="00472F84" w:rsidRDefault="00472F84" w:rsidP="00472F84">
      <w:pPr>
        <w:tabs>
          <w:tab w:val="center" w:pos="4819"/>
        </w:tabs>
        <w:spacing w:before="120" w:line="480" w:lineRule="auto"/>
        <w:ind w:firstLine="567"/>
        <w:jc w:val="both"/>
        <w:rPr>
          <w:sz w:val="28"/>
          <w:szCs w:val="28"/>
        </w:rPr>
      </w:pPr>
      <w:r w:rsidRPr="00472F84">
        <w:rPr>
          <w:sz w:val="28"/>
          <w:szCs w:val="28"/>
        </w:rPr>
        <w:t xml:space="preserve">Osmanlı İmparatorluğu bu dönemde kuzeyden güneye doğudan batıya sınırlarını son derece genişletmiş, her bakımdan yükselişinin son seviyesine ulaşmış, dünyaya hâkim bir durumdadır. </w:t>
      </w:r>
      <w:r w:rsidRPr="00472F84">
        <w:rPr>
          <w:b/>
          <w:bCs/>
          <w:sz w:val="28"/>
          <w:szCs w:val="28"/>
        </w:rPr>
        <w:t>Devrin padişahları II. Bayezid, Yavuz Sultan Selim ve Kanuni Sultan Süleyman</w:t>
      </w:r>
      <w:r w:rsidRPr="00472F84">
        <w:rPr>
          <w:sz w:val="28"/>
          <w:szCs w:val="28"/>
        </w:rPr>
        <w:t xml:space="preserve">’dır. Ülke özellikle Yavuz Sultan Selim ve Kanuni Sultan Süleyman dönemlerinde idari, mali, askeri, medeni ve kültürel bakımdan en parlak dönemini yaşamıştır. Başta İstanbul olmak üzere Edirne, Bursa, Konya, Amasya, Kütahya ve Manisa gibi şehirler en önemli kültür merkezleridir. Dönemin hükümdarları ve devlet ileri gelenleri bilim ve sanata çok önem vermişler; âlim, sanatkâr, şair ve yazarları himaye etmişlerdir. Saray çevreleri, paşaların, edebiyata meraklı zenginlerin konakları, tekkeler, kahvehaneler, bozahaneler İmparatorluğun dört bir yanından ve çeşitli İslam ülkelerinden gelen âlim, sanatkâr ve şairlerle dolup taşmıştır (Bu edebi muhitler hakkında bk. Haluk İpekten, </w:t>
      </w:r>
      <w:r w:rsidRPr="00472F84">
        <w:rPr>
          <w:b/>
          <w:i/>
          <w:sz w:val="28"/>
          <w:szCs w:val="28"/>
        </w:rPr>
        <w:t>Divan Edebiyatında Edebi Muhitler</w:t>
      </w:r>
      <w:r w:rsidRPr="00472F84">
        <w:rPr>
          <w:rStyle w:val="DipnotBavurusu"/>
          <w:b/>
          <w:i/>
          <w:sz w:val="28"/>
          <w:szCs w:val="28"/>
        </w:rPr>
        <w:footnoteReference w:id="1"/>
      </w:r>
      <w:r w:rsidRPr="00472F84">
        <w:rPr>
          <w:sz w:val="28"/>
          <w:szCs w:val="28"/>
        </w:rPr>
        <w:t xml:space="preserve">, MEB. Yayınları, İstanbul, 1996). Bu nedenledir ki XVI. yüzyılda Türk edebiyatının en verimli ve ihtişamlı devri Osmanlı sahasında görülür. XIII ve XV. </w:t>
      </w:r>
      <w:r w:rsidRPr="00472F84">
        <w:rPr>
          <w:sz w:val="28"/>
          <w:szCs w:val="28"/>
        </w:rPr>
        <w:lastRenderedPageBreak/>
        <w:t>yüzyıllar arasında kuruluş devrini tamamlayan divan edebiyatı, XVI. yüzyılda artık örnek aldığı İran edebiyatı ile boy ölçüşecek seviyeye erişmiş, Osmanlı şairleri İran örnekleriyle eşdeğerde, hatta onlardan üstün eserler ortaya koymayı başarmışlardır.</w:t>
      </w:r>
    </w:p>
    <w:p w:rsidR="00472F84" w:rsidRPr="00472F84" w:rsidRDefault="00472F84" w:rsidP="00472F84">
      <w:pPr>
        <w:tabs>
          <w:tab w:val="center" w:pos="4819"/>
        </w:tabs>
        <w:spacing w:before="120" w:line="480" w:lineRule="auto"/>
        <w:ind w:firstLine="567"/>
        <w:jc w:val="both"/>
        <w:rPr>
          <w:sz w:val="28"/>
          <w:szCs w:val="28"/>
        </w:rPr>
      </w:pPr>
      <w:r w:rsidRPr="00472F84">
        <w:rPr>
          <w:sz w:val="28"/>
          <w:szCs w:val="28"/>
        </w:rPr>
        <w:t xml:space="preserve">Şairlerin XIII. ve XV. yüzyılları kapsayan divan edebiyatının kuruluş döneminde Türkçeyi aruzun ahengi ile uzlaştırmak için uğraşlarının sonunda bu yüzyılda Arapça ve Farsça kelime ve tamlamalar Türkçe cümle yapısında başarı ile kullanılarak Türkçe söyleyiş şiire hâkim kılınmıştır. Dolayısıyla XVI. yüzyılda çok sayıda şair tarafından işlenen divan şiiri, sanat ve ahenk yönünden zirveye ulaşmıştır. Divanlardaki şiirlerin konuları genellikle din, tasavvuf, hikmet, övgü, rindlik, aşk ve tabiat gibi bu edebiyatın estetik kuralları içinde yer alan klasik konulardır. Ancak şairler bu konuları işlerken gelenek ve göreneklere, deyim ve atasözlerine, çevre ile ilgili somut tasvirlere yer vererek yerli unsurları da şiire katmayı başarmışlardır. Yerlileşme eğilimi özellikle Rumeli şairlerinde sıkça görülür. Şehr-engiz türündeki mesnevilerin çoğunlukla bu yüzyılda yazılmış olması edebiyattaki yerlileşme eğilimi ile ilgilidir (bk. A.S. Levend, </w:t>
      </w:r>
      <w:r w:rsidRPr="00472F84">
        <w:rPr>
          <w:b/>
          <w:i/>
          <w:sz w:val="28"/>
          <w:szCs w:val="28"/>
        </w:rPr>
        <w:t>Türk Edebiyatında Şehrengizler</w:t>
      </w:r>
      <w:r w:rsidRPr="00472F84">
        <w:rPr>
          <w:sz w:val="28"/>
          <w:szCs w:val="28"/>
        </w:rPr>
        <w:t xml:space="preserve">, İstanbul, 1958.) Bununla birlikte İran edebiyatından alınan </w:t>
      </w:r>
      <w:proofErr w:type="gramStart"/>
      <w:r w:rsidRPr="00472F84">
        <w:rPr>
          <w:sz w:val="28"/>
          <w:szCs w:val="28"/>
        </w:rPr>
        <w:t>Yusuf u</w:t>
      </w:r>
      <w:proofErr w:type="gramEnd"/>
      <w:r w:rsidRPr="00472F84">
        <w:rPr>
          <w:sz w:val="28"/>
          <w:szCs w:val="28"/>
        </w:rPr>
        <w:t xml:space="preserve"> Züleyha, Leyla vü Mecnun, Vamık u Azra gibi klasik mesnevi konularında da çok sayıda mesnevi yazılmıştır. </w:t>
      </w:r>
      <w:r w:rsidRPr="00472F84">
        <w:rPr>
          <w:b/>
          <w:bCs/>
          <w:sz w:val="28"/>
          <w:szCs w:val="28"/>
        </w:rPr>
        <w:t>Bu yüzyılda muamma yazmak moda hâline gelmiştir.</w:t>
      </w:r>
      <w:r w:rsidRPr="00472F84">
        <w:rPr>
          <w:sz w:val="28"/>
          <w:szCs w:val="28"/>
        </w:rPr>
        <w:t xml:space="preserve"> Çok sayıda şair tarafından manzum tarihler düşürülmüştür. Bu yüzyılda manzum hiciv ve letaif türünde eserler de verilmiştir.</w:t>
      </w:r>
    </w:p>
    <w:p w:rsidR="00156004" w:rsidRPr="00472F84" w:rsidRDefault="00472F84" w:rsidP="00472F84">
      <w:pPr>
        <w:spacing w:line="480" w:lineRule="auto"/>
        <w:rPr>
          <w:sz w:val="28"/>
          <w:szCs w:val="28"/>
        </w:rPr>
      </w:pPr>
      <w:r w:rsidRPr="00472F84">
        <w:rPr>
          <w:sz w:val="28"/>
          <w:szCs w:val="28"/>
        </w:rPr>
        <w:lastRenderedPageBreak/>
        <w:t xml:space="preserve">XVI. yüzyılda başta tarih kitapları ve şair tezkireleri (XVI. yüzyıl şuara tezkireleri nelerdir?) olmak üzere nesir türünde de çok sayıda eser yazılmıştır. Nesir dilinde üç ayrı üslup görülür. Birincisi Hoca Sadeddin’in </w:t>
      </w:r>
      <w:r w:rsidRPr="00472F84">
        <w:rPr>
          <w:i/>
          <w:sz w:val="28"/>
          <w:szCs w:val="28"/>
        </w:rPr>
        <w:t>Tacü’t-tevarih</w:t>
      </w:r>
      <w:r w:rsidRPr="00472F84">
        <w:rPr>
          <w:sz w:val="28"/>
          <w:szCs w:val="28"/>
        </w:rPr>
        <w:t xml:space="preserve">’i, Sinan Paşa’nın </w:t>
      </w:r>
      <w:r w:rsidRPr="00472F84">
        <w:rPr>
          <w:i/>
          <w:sz w:val="28"/>
          <w:szCs w:val="28"/>
        </w:rPr>
        <w:t>Tazarruname</w:t>
      </w:r>
      <w:r w:rsidRPr="00472F84">
        <w:rPr>
          <w:sz w:val="28"/>
          <w:szCs w:val="28"/>
        </w:rPr>
        <w:t xml:space="preserve">’si, Fuzuli’nin </w:t>
      </w:r>
      <w:r w:rsidRPr="00472F84">
        <w:rPr>
          <w:i/>
          <w:sz w:val="28"/>
          <w:szCs w:val="28"/>
        </w:rPr>
        <w:t>Şikâyet-name</w:t>
      </w:r>
      <w:r w:rsidRPr="00472F84">
        <w:rPr>
          <w:sz w:val="28"/>
          <w:szCs w:val="28"/>
        </w:rPr>
        <w:t xml:space="preserve">’si ve </w:t>
      </w:r>
      <w:r w:rsidRPr="00472F84">
        <w:rPr>
          <w:i/>
          <w:sz w:val="28"/>
          <w:szCs w:val="28"/>
        </w:rPr>
        <w:t>Hasan Çelebi Tezkiresi</w:t>
      </w:r>
      <w:r w:rsidRPr="00472F84">
        <w:rPr>
          <w:sz w:val="28"/>
          <w:szCs w:val="28"/>
        </w:rPr>
        <w:t xml:space="preserve">’nde görülen secili, sanatlı, dilin daha ağır olduğu üsluptur. İkinci üslup, halkın yararlanması için sade dille yazılan eserlerde görülen üsluptur (G. Âli’nin </w:t>
      </w:r>
      <w:r w:rsidRPr="00472F84">
        <w:rPr>
          <w:i/>
          <w:sz w:val="28"/>
          <w:szCs w:val="28"/>
        </w:rPr>
        <w:t>Kavaidü’l-Mecalis</w:t>
      </w:r>
      <w:r w:rsidRPr="00472F84">
        <w:rPr>
          <w:sz w:val="28"/>
          <w:szCs w:val="28"/>
        </w:rPr>
        <w:t>’i, menakıb-nameler, halk için yazılmış hikâyeler). Üçüncü üslupta ise orta yol izlenmiştir. Yani bu üslupla yazılan eserlerde dil ne çok sade (Sehi Tezkiresi) ne de çok ağırdır (Âşık Çelebi ve Latifi Tezkireleri).</w:t>
      </w:r>
    </w:p>
    <w:sectPr w:rsidR="00156004" w:rsidRPr="00472F84" w:rsidSect="00472F84">
      <w:pgSz w:w="16838" w:h="11906" w:orient="landscape"/>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38F" w:rsidRDefault="0010538F" w:rsidP="00472F84">
      <w:r>
        <w:separator/>
      </w:r>
    </w:p>
  </w:endnote>
  <w:endnote w:type="continuationSeparator" w:id="0">
    <w:p w:rsidR="0010538F" w:rsidRDefault="0010538F" w:rsidP="0047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38F" w:rsidRDefault="0010538F" w:rsidP="00472F84">
      <w:r>
        <w:separator/>
      </w:r>
    </w:p>
  </w:footnote>
  <w:footnote w:type="continuationSeparator" w:id="0">
    <w:p w:rsidR="0010538F" w:rsidRDefault="0010538F" w:rsidP="00472F84">
      <w:r>
        <w:continuationSeparator/>
      </w:r>
    </w:p>
  </w:footnote>
  <w:footnote w:id="1">
    <w:p w:rsidR="00472F84" w:rsidRDefault="00472F84" w:rsidP="00472F84">
      <w:pPr>
        <w:pStyle w:val="DipnotMetni"/>
        <w:tabs>
          <w:tab w:val="left" w:pos="490"/>
        </w:tabs>
        <w:jc w:val="both"/>
      </w:pPr>
      <w:r>
        <w:rPr>
          <w:rStyle w:val="DipnotBavurusu"/>
        </w:rPr>
        <w:footnoteRef/>
      </w:r>
      <w:r>
        <w:t xml:space="preserve"> Bu eserde XV ve XVI. yüzyıllardaki edebi muhitler şöyle ele alınmıştır: 1.Devlet Merkezinde (Edirne-İstanbul) padişah sarayları ve devlet büyüklerinin konakları; 2. Vilayetlerde şehzade sarayları ve paşa ve beylerin konakları; 3. Şairlerin Toplantı Yerleri: Şuara meclisleri, dükkânlar, meyhaneler.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F84"/>
    <w:rsid w:val="0010538F"/>
    <w:rsid w:val="00156004"/>
    <w:rsid w:val="00472F84"/>
    <w:rsid w:val="00764A60"/>
    <w:rsid w:val="00B83C8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E6684-A243-49C1-957A-3C6A0A10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72F84"/>
    <w:pPr>
      <w:spacing w:line="240" w:lineRule="auto"/>
      <w:jc w:val="left"/>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rsid w:val="00472F84"/>
    <w:rPr>
      <w:sz w:val="20"/>
      <w:szCs w:val="20"/>
    </w:rPr>
  </w:style>
  <w:style w:type="character" w:customStyle="1" w:styleId="DipnotMetniChar">
    <w:name w:val="Dipnot Metni Char"/>
    <w:basedOn w:val="VarsaylanParagrafYazTipi"/>
    <w:link w:val="DipnotMetni"/>
    <w:semiHidden/>
    <w:rsid w:val="00472F84"/>
    <w:rPr>
      <w:rFonts w:eastAsia="Times New Roman"/>
      <w:sz w:val="20"/>
      <w:szCs w:val="20"/>
      <w:lang w:eastAsia="tr-TR"/>
    </w:rPr>
  </w:style>
  <w:style w:type="character" w:styleId="DipnotBavurusu">
    <w:name w:val="footnote reference"/>
    <w:basedOn w:val="VarsaylanParagrafYazTipi"/>
    <w:semiHidden/>
    <w:rsid w:val="00472F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513</Words>
  <Characters>2929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Beytullah Cinar</dc:creator>
  <cp:keywords/>
  <dc:description/>
  <cp:lastModifiedBy>Beytullah Cinar</cp:lastModifiedBy>
  <cp:revision>1</cp:revision>
  <dcterms:created xsi:type="dcterms:W3CDTF">2020-05-10T13:30:00Z</dcterms:created>
  <dcterms:modified xsi:type="dcterms:W3CDTF">2020-05-10T13:32:00Z</dcterms:modified>
</cp:coreProperties>
</file>