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02BA" w:rsidRPr="002502BA" w:rsidRDefault="002502BA" w:rsidP="002502BA">
      <w:pPr>
        <w:tabs>
          <w:tab w:val="left" w:pos="6420"/>
          <w:tab w:val="left" w:pos="6540"/>
        </w:tabs>
        <w:spacing w:line="480" w:lineRule="auto"/>
        <w:ind w:firstLine="709"/>
        <w:jc w:val="center"/>
        <w:rPr>
          <w:b/>
          <w:sz w:val="28"/>
          <w:szCs w:val="28"/>
        </w:rPr>
      </w:pPr>
      <w:r w:rsidRPr="002502BA">
        <w:rPr>
          <w:b/>
          <w:sz w:val="32"/>
          <w:szCs w:val="32"/>
        </w:rPr>
        <w:t>RUHİ-İ BAĞDADÎ (ö.1605)</w:t>
      </w:r>
    </w:p>
    <w:p w:rsidR="002502BA" w:rsidRPr="002502BA" w:rsidRDefault="002502BA" w:rsidP="002502BA">
      <w:pPr>
        <w:pStyle w:val="NormalWeb"/>
        <w:spacing w:before="120" w:beforeAutospacing="0" w:after="0" w:afterAutospacing="0" w:line="480" w:lineRule="auto"/>
        <w:ind w:firstLine="709"/>
        <w:jc w:val="both"/>
        <w:rPr>
          <w:sz w:val="28"/>
          <w:szCs w:val="28"/>
        </w:rPr>
      </w:pPr>
      <w:r w:rsidRPr="002502BA">
        <w:rPr>
          <w:sz w:val="28"/>
          <w:szCs w:val="28"/>
        </w:rPr>
        <w:t xml:space="preserve">Bağdat’ta doğduğu için Ruhi-i Bağdâdî (Bağdatlı Ruhi) diye anılan şairin doğum tarihi bilinmemektedir. Bağdatlı Ruhi’nin babası, Kanuni ordularıyla Bağdat’a giden Anadolulu bir askerdir. Divanındaki şiirlerinden kendisinin de bir sipahi olduğu anlaşılmaktadır. Sipahi olması dolayısıyla diyar diyar gezmiş bir şairdir. Bağdat paşalarının maiyetinde bulunmuştur. </w:t>
      </w:r>
      <w:r w:rsidRPr="002502BA">
        <w:rPr>
          <w:i/>
          <w:sz w:val="28"/>
          <w:szCs w:val="28"/>
        </w:rPr>
        <w:t>Esrar Dede Tezkiresi</w:t>
      </w:r>
      <w:r w:rsidRPr="002502BA">
        <w:rPr>
          <w:sz w:val="28"/>
          <w:szCs w:val="28"/>
        </w:rPr>
        <w:t xml:space="preserve">’nde Ruhi’nin Mevlevî olduğundan söz ediliyorsa da </w:t>
      </w:r>
      <w:r w:rsidRPr="002502BA">
        <w:rPr>
          <w:i/>
          <w:sz w:val="28"/>
          <w:szCs w:val="28"/>
        </w:rPr>
        <w:t>Divan</w:t>
      </w:r>
      <w:r w:rsidRPr="002502BA">
        <w:rPr>
          <w:sz w:val="28"/>
          <w:szCs w:val="28"/>
        </w:rPr>
        <w:t xml:space="preserve">’ında Mevlevi şairlere özgü, ısrarlı bir </w:t>
      </w:r>
      <w:proofErr w:type="gramStart"/>
      <w:r w:rsidRPr="002502BA">
        <w:rPr>
          <w:sz w:val="28"/>
          <w:szCs w:val="28"/>
        </w:rPr>
        <w:t>Mevlana</w:t>
      </w:r>
      <w:proofErr w:type="gramEnd"/>
      <w:r w:rsidRPr="002502BA">
        <w:rPr>
          <w:sz w:val="28"/>
          <w:szCs w:val="28"/>
        </w:rPr>
        <w:t xml:space="preserve"> övgüsü yoktur. Buna karşılık, şiirlerinde Fazlullâh-i Hurufi’ye bağlılığını sık sık dile getirmiştir.</w:t>
      </w:r>
    </w:p>
    <w:p w:rsidR="002502BA" w:rsidRPr="002502BA" w:rsidRDefault="002502BA" w:rsidP="002502BA">
      <w:pPr>
        <w:pStyle w:val="NormalWeb"/>
        <w:spacing w:before="120" w:beforeAutospacing="0" w:after="0" w:afterAutospacing="0" w:line="480" w:lineRule="auto"/>
        <w:ind w:firstLine="709"/>
        <w:jc w:val="both"/>
        <w:rPr>
          <w:sz w:val="28"/>
          <w:szCs w:val="28"/>
        </w:rPr>
      </w:pPr>
      <w:r w:rsidRPr="002502BA">
        <w:rPr>
          <w:sz w:val="28"/>
          <w:szCs w:val="28"/>
        </w:rPr>
        <w:t>Şairin, tezkire yazarı Ahdi, Fuzûlî’nin oğlu Fazlî ile ve yine başta Bağdat şairleri olmak üzere devrinin birçok devlet büyüğü, âlim ve şairi ile arkadaşlıkları ve dostlukları olmuştur. Şam’da bulunduğu sırada, Şam kadılığı yapmakta olan Azmizade Haleti ile de yakın arkadaşlığı olmuştur. Ruhi’nin, etkisi altında kaldığı şairler arasında Fuzûlî’nin önemli bir yeri vardır. Fuzuli’nin şiirlerine nazireler yazmıştır. 1605’te Şam’da ölmüştür.</w:t>
      </w:r>
    </w:p>
    <w:p w:rsidR="002502BA" w:rsidRPr="002502BA" w:rsidRDefault="002502BA" w:rsidP="002502BA">
      <w:pPr>
        <w:pStyle w:val="NormalWeb"/>
        <w:spacing w:before="120" w:beforeAutospacing="0" w:after="0" w:afterAutospacing="0" w:line="480" w:lineRule="auto"/>
        <w:ind w:firstLine="709"/>
        <w:jc w:val="both"/>
        <w:rPr>
          <w:sz w:val="28"/>
          <w:szCs w:val="28"/>
        </w:rPr>
      </w:pPr>
      <w:r w:rsidRPr="002502BA">
        <w:rPr>
          <w:sz w:val="28"/>
          <w:szCs w:val="28"/>
        </w:rPr>
        <w:t>Ruhi, asker olması dolayısıyla askerliği, savaş meydanlarındaki zaferleri öven, Türk kahramanlık şiirleri arasında da yerini almış lirik manzumeler yazmış olmasına karşılık, asıl olarak bir toplumsal eleştiri ve düşünce şairidir. Onun, edebiyat tarihindeki önemi, toplumsal sorunlar karşısında duyarlı, düşünen ve eleştiren bir şair olmasıdır.</w:t>
      </w:r>
    </w:p>
    <w:p w:rsidR="002502BA" w:rsidRPr="002502BA" w:rsidRDefault="002502BA" w:rsidP="002502BA">
      <w:pPr>
        <w:pStyle w:val="NormalWeb"/>
        <w:spacing w:before="120" w:beforeAutospacing="0" w:after="0" w:afterAutospacing="0" w:line="480" w:lineRule="auto"/>
        <w:ind w:firstLine="709"/>
        <w:jc w:val="both"/>
        <w:rPr>
          <w:sz w:val="28"/>
          <w:szCs w:val="28"/>
        </w:rPr>
      </w:pPr>
      <w:r w:rsidRPr="002502BA">
        <w:rPr>
          <w:sz w:val="28"/>
          <w:szCs w:val="28"/>
        </w:rPr>
        <w:lastRenderedPageBreak/>
        <w:t xml:space="preserve">Şiirlerinde kullandığı dilin sadeliği, halk kelime ve tabirlerini zevk ve alışkanlıkla kullanışı, orduya mensup saz şairlerinin üslubunu andırır. Özellikle gezip yaşadığı Irak ve Şam bölgelerindeki idari sistemin ve sosyal hayatın; din ve ahlak anlayışının aksayan taraflarından yola çıkarak söylediği satirik mısralar (eleştirici bir anlatım) Ruhi’nin diğer şiirlerinde de görülür. Fakat onun bu sahada en tanınmış ve çığır açmış eseri, 17 bent hâlinde kaleme aldığı, büyük </w:t>
      </w:r>
      <w:r w:rsidRPr="002502BA">
        <w:rPr>
          <w:i/>
          <w:sz w:val="28"/>
          <w:szCs w:val="28"/>
        </w:rPr>
        <w:t>Terkib-i Bend</w:t>
      </w:r>
      <w:r w:rsidRPr="002502BA">
        <w:rPr>
          <w:sz w:val="28"/>
          <w:szCs w:val="28"/>
        </w:rPr>
        <w:t xml:space="preserve"> manzumesidir. Ruhi’nin </w:t>
      </w:r>
      <w:r w:rsidRPr="002502BA">
        <w:rPr>
          <w:i/>
          <w:sz w:val="28"/>
          <w:szCs w:val="28"/>
        </w:rPr>
        <w:t>Terkib-i Bend</w:t>
      </w:r>
      <w:r w:rsidRPr="002502BA">
        <w:rPr>
          <w:sz w:val="28"/>
          <w:szCs w:val="28"/>
        </w:rPr>
        <w:t xml:space="preserve">’i daha 17. asrın ilk yıllarından başlayarak büyük beğeni ve ilgi görmüş ve divan edebiyatında özel bir terkib-i bend tarzı oluşmuştur. Başta Şeyh Galip olmak üzere Ziya Paşa ve Muallim Naci gibi gerek divan gerek Tanzimat edebiyatının önemli şairleri tarafından bu </w:t>
      </w:r>
      <w:r w:rsidRPr="002502BA">
        <w:rPr>
          <w:i/>
          <w:sz w:val="28"/>
          <w:szCs w:val="28"/>
        </w:rPr>
        <w:t xml:space="preserve">Terkib-i Bend’e </w:t>
      </w:r>
      <w:r w:rsidRPr="002502BA">
        <w:rPr>
          <w:sz w:val="28"/>
          <w:szCs w:val="28"/>
        </w:rPr>
        <w:t xml:space="preserve">nazireler yazılmıştır. Ruhi’nin </w:t>
      </w:r>
      <w:r w:rsidRPr="002502BA">
        <w:rPr>
          <w:i/>
          <w:sz w:val="28"/>
          <w:szCs w:val="28"/>
        </w:rPr>
        <w:t>Terkib-i Bend</w:t>
      </w:r>
      <w:r w:rsidRPr="002502BA">
        <w:rPr>
          <w:sz w:val="28"/>
          <w:szCs w:val="28"/>
        </w:rPr>
        <w:t xml:space="preserve">’i, </w:t>
      </w:r>
      <w:r w:rsidRPr="002502BA">
        <w:rPr>
          <w:i/>
          <w:sz w:val="28"/>
          <w:szCs w:val="28"/>
        </w:rPr>
        <w:t>Divan</w:t>
      </w:r>
      <w:r w:rsidRPr="002502BA">
        <w:rPr>
          <w:sz w:val="28"/>
          <w:szCs w:val="28"/>
        </w:rPr>
        <w:t>’ından ayrı olarak birkaç defa basılmıştır.</w:t>
      </w:r>
    </w:p>
    <w:p w:rsidR="002502BA" w:rsidRPr="002502BA" w:rsidRDefault="002502BA" w:rsidP="002502BA">
      <w:pPr>
        <w:tabs>
          <w:tab w:val="left" w:pos="4900"/>
        </w:tabs>
        <w:spacing w:line="480" w:lineRule="auto"/>
        <w:ind w:firstLine="709"/>
        <w:jc w:val="both"/>
        <w:rPr>
          <w:sz w:val="28"/>
          <w:szCs w:val="28"/>
        </w:rPr>
      </w:pPr>
      <w:r w:rsidRPr="002502BA">
        <w:rPr>
          <w:sz w:val="28"/>
          <w:szCs w:val="28"/>
        </w:rPr>
        <w:t>Bağdatlı Ruhi’ Divanının tenkitli metni Coşkun Ak tarafından yayımlanmıştır:</w:t>
      </w:r>
    </w:p>
    <w:p w:rsidR="002502BA" w:rsidRDefault="002502BA" w:rsidP="002502BA">
      <w:pPr>
        <w:spacing w:line="480" w:lineRule="auto"/>
        <w:ind w:firstLine="709"/>
        <w:jc w:val="both"/>
        <w:rPr>
          <w:sz w:val="28"/>
          <w:szCs w:val="28"/>
        </w:rPr>
      </w:pPr>
      <w:r w:rsidRPr="002502BA">
        <w:rPr>
          <w:sz w:val="28"/>
          <w:szCs w:val="28"/>
        </w:rPr>
        <w:t xml:space="preserve">Coşkun Ak, </w:t>
      </w:r>
      <w:r w:rsidRPr="002502BA">
        <w:rPr>
          <w:b/>
          <w:i/>
          <w:sz w:val="28"/>
          <w:szCs w:val="28"/>
        </w:rPr>
        <w:t>Bağdatlı Ruhî Divanı (Karşılaştırmalı Metin)</w:t>
      </w:r>
      <w:r w:rsidRPr="002502BA">
        <w:rPr>
          <w:sz w:val="28"/>
          <w:szCs w:val="28"/>
        </w:rPr>
        <w:t xml:space="preserve">, </w:t>
      </w:r>
      <w:smartTag w:uri="urn:schemas-microsoft-com:office:smarttags" w:element="metricconverter">
        <w:smartTagPr>
          <w:attr w:name="ProductID" w:val="2C"/>
        </w:smartTagPr>
        <w:r w:rsidRPr="002502BA">
          <w:rPr>
            <w:sz w:val="28"/>
            <w:szCs w:val="28"/>
          </w:rPr>
          <w:t>2C</w:t>
        </w:r>
      </w:smartTag>
      <w:r w:rsidRPr="002502BA">
        <w:rPr>
          <w:sz w:val="28"/>
          <w:szCs w:val="28"/>
        </w:rPr>
        <w:t>., Bursa, 2001.</w:t>
      </w:r>
    </w:p>
    <w:p w:rsidR="002502BA" w:rsidRDefault="002502BA" w:rsidP="002502BA">
      <w:pPr>
        <w:spacing w:line="480" w:lineRule="auto"/>
        <w:ind w:firstLine="709"/>
        <w:jc w:val="both"/>
        <w:rPr>
          <w:sz w:val="28"/>
          <w:szCs w:val="28"/>
        </w:rPr>
      </w:pPr>
    </w:p>
    <w:p w:rsidR="002502BA" w:rsidRPr="002502BA" w:rsidRDefault="002502BA" w:rsidP="002502BA">
      <w:pPr>
        <w:spacing w:line="480" w:lineRule="auto"/>
        <w:ind w:firstLine="709"/>
        <w:jc w:val="both"/>
        <w:rPr>
          <w:b/>
          <w:sz w:val="28"/>
          <w:szCs w:val="28"/>
        </w:rPr>
      </w:pPr>
      <w:r w:rsidRPr="002502BA">
        <w:rPr>
          <w:b/>
          <w:sz w:val="28"/>
          <w:szCs w:val="28"/>
        </w:rPr>
        <w:t>EDİRNELİ NAZMİ VE TÜRKÎ-İ BASİT</w:t>
      </w:r>
    </w:p>
    <w:p w:rsidR="002502BA" w:rsidRPr="002502BA" w:rsidRDefault="002502BA" w:rsidP="002502BA">
      <w:pPr>
        <w:spacing w:line="480" w:lineRule="auto"/>
        <w:ind w:firstLine="709"/>
        <w:jc w:val="both"/>
        <w:rPr>
          <w:sz w:val="28"/>
          <w:szCs w:val="28"/>
        </w:rPr>
      </w:pPr>
      <w:r w:rsidRPr="002502BA">
        <w:rPr>
          <w:sz w:val="28"/>
          <w:szCs w:val="28"/>
        </w:rPr>
        <w:t>Köprülü, M. Fuat (1928). Millī Edebiyyāt Cereyānınıŋ İlk Mübeşşirleri ve Dīvān-ı Türkī-yi Basīṭ. İstanbul: Türkiyat Enstitüsü.</w:t>
      </w:r>
    </w:p>
    <w:p w:rsidR="002502BA" w:rsidRPr="002502BA" w:rsidRDefault="002502BA" w:rsidP="002502BA">
      <w:pPr>
        <w:spacing w:line="480" w:lineRule="auto"/>
        <w:ind w:firstLine="709"/>
        <w:jc w:val="both"/>
        <w:rPr>
          <w:sz w:val="28"/>
          <w:szCs w:val="28"/>
        </w:rPr>
      </w:pPr>
      <w:r w:rsidRPr="002502BA">
        <w:rPr>
          <w:sz w:val="28"/>
          <w:szCs w:val="28"/>
        </w:rPr>
        <w:lastRenderedPageBreak/>
        <w:t>N.Sami Banarlı, “Türk Dili İçin Çalışmalar ve Basit Türkçe Cereyanı”, RTET, C.1, s. 621-623.</w:t>
      </w:r>
    </w:p>
    <w:p w:rsidR="002502BA" w:rsidRPr="002502BA" w:rsidRDefault="002502BA" w:rsidP="002502BA">
      <w:pPr>
        <w:spacing w:line="480" w:lineRule="auto"/>
        <w:ind w:firstLine="709"/>
        <w:jc w:val="both"/>
        <w:rPr>
          <w:sz w:val="28"/>
          <w:szCs w:val="28"/>
        </w:rPr>
      </w:pPr>
      <w:r w:rsidRPr="002502BA">
        <w:rPr>
          <w:sz w:val="28"/>
          <w:szCs w:val="28"/>
        </w:rPr>
        <w:t>Atsız, Hüseyin Nihal (1934). XVI’ncı Asır Şairlerinden Edirneli Nazmî’nin Eseri ve bu Eserin Türk Dili ve Kültürü Bakımından Ehemmiyeti. İstanbul: Arkadaş Matbaası.</w:t>
      </w:r>
    </w:p>
    <w:p w:rsidR="002502BA" w:rsidRPr="002502BA" w:rsidRDefault="002502BA" w:rsidP="002502BA">
      <w:pPr>
        <w:spacing w:line="480" w:lineRule="auto"/>
        <w:ind w:firstLine="567"/>
        <w:jc w:val="both"/>
        <w:rPr>
          <w:sz w:val="28"/>
          <w:szCs w:val="28"/>
        </w:rPr>
      </w:pPr>
      <w:r w:rsidRPr="002502BA">
        <w:rPr>
          <w:sz w:val="28"/>
          <w:szCs w:val="28"/>
        </w:rPr>
        <w:t>Semih Tezcan, “Divan Şiirinde Türkçe Kaygısı”, Bilig, Yaz 2010, Sayı 54, s.255-267.</w:t>
      </w:r>
    </w:p>
    <w:p w:rsidR="002502BA" w:rsidRPr="002502BA" w:rsidRDefault="002502BA" w:rsidP="002502BA">
      <w:pPr>
        <w:spacing w:line="480" w:lineRule="auto"/>
        <w:ind w:firstLine="567"/>
        <w:jc w:val="both"/>
        <w:rPr>
          <w:sz w:val="28"/>
          <w:szCs w:val="28"/>
        </w:rPr>
      </w:pPr>
      <w:r w:rsidRPr="002502BA">
        <w:rPr>
          <w:sz w:val="28"/>
          <w:szCs w:val="28"/>
        </w:rPr>
        <w:t xml:space="preserve">Ziya Avşar, Edirneli Nazmi ve Türki-i Basit, Konya 2007. </w:t>
      </w:r>
    </w:p>
    <w:p w:rsidR="002502BA" w:rsidRPr="002502BA" w:rsidRDefault="002502BA" w:rsidP="002502BA">
      <w:pPr>
        <w:spacing w:line="480" w:lineRule="auto"/>
        <w:ind w:firstLine="567"/>
        <w:jc w:val="both"/>
        <w:rPr>
          <w:sz w:val="28"/>
          <w:szCs w:val="28"/>
        </w:rPr>
      </w:pPr>
      <w:r w:rsidRPr="002502BA">
        <w:rPr>
          <w:sz w:val="28"/>
          <w:szCs w:val="28"/>
        </w:rPr>
        <w:t xml:space="preserve">Ziya Avşar, “Türki-i Basit’i Yeniden Tartışmak”, Bilig, S. 18, Ankara 2001, s. 127-142. </w:t>
      </w:r>
    </w:p>
    <w:p w:rsidR="002502BA" w:rsidRPr="002502BA" w:rsidRDefault="002502BA" w:rsidP="002502BA">
      <w:pPr>
        <w:spacing w:line="480" w:lineRule="auto"/>
        <w:ind w:firstLine="567"/>
        <w:jc w:val="both"/>
        <w:rPr>
          <w:sz w:val="28"/>
          <w:szCs w:val="28"/>
        </w:rPr>
      </w:pPr>
      <w:r w:rsidRPr="002502BA">
        <w:rPr>
          <w:sz w:val="28"/>
          <w:szCs w:val="28"/>
        </w:rPr>
        <w:t xml:space="preserve">Fatih Köksal, “Orijinal Bir Şair: Edirneli Nazmî ve Dîvân’ına Yeni Bakışlar”, Bilig, S. 20 (2002), s. 101-123. </w:t>
      </w:r>
    </w:p>
    <w:p w:rsidR="002502BA" w:rsidRPr="002502BA" w:rsidRDefault="002502BA" w:rsidP="002502BA">
      <w:pPr>
        <w:spacing w:line="480" w:lineRule="auto"/>
        <w:ind w:firstLine="567"/>
        <w:jc w:val="both"/>
        <w:rPr>
          <w:sz w:val="28"/>
          <w:szCs w:val="28"/>
        </w:rPr>
      </w:pPr>
      <w:r w:rsidRPr="002502BA">
        <w:rPr>
          <w:sz w:val="28"/>
          <w:szCs w:val="28"/>
        </w:rPr>
        <w:t xml:space="preserve">Fatih Köksal,“Edirneli Nazmî’nin Yayımlanmamış Türkî-i Basît Şiirleri”, Türklük Bilimi Araştırmaları, S. 15, Niğde 2004, s. 63-82. </w:t>
      </w:r>
    </w:p>
    <w:p w:rsidR="002502BA" w:rsidRPr="002502BA" w:rsidRDefault="002502BA" w:rsidP="002502BA">
      <w:pPr>
        <w:spacing w:line="480" w:lineRule="auto"/>
        <w:ind w:firstLine="567"/>
        <w:jc w:val="both"/>
        <w:rPr>
          <w:sz w:val="28"/>
          <w:szCs w:val="28"/>
        </w:rPr>
      </w:pPr>
      <w:r w:rsidRPr="002502BA">
        <w:rPr>
          <w:sz w:val="28"/>
          <w:szCs w:val="28"/>
        </w:rPr>
        <w:t>Hatice Aynur, “Türkî-i Basît Hareketini Yeniden Düşünmek”, Turkish Studies, IV/5 (2009), s. 34-59.</w:t>
      </w:r>
    </w:p>
    <w:p w:rsidR="002502BA" w:rsidRPr="002502BA" w:rsidRDefault="002502BA" w:rsidP="002502BA">
      <w:pPr>
        <w:spacing w:line="480" w:lineRule="auto"/>
        <w:ind w:firstLine="567"/>
        <w:jc w:val="both"/>
        <w:rPr>
          <w:sz w:val="28"/>
          <w:szCs w:val="28"/>
        </w:rPr>
      </w:pPr>
      <w:r w:rsidRPr="002502BA">
        <w:rPr>
          <w:sz w:val="28"/>
          <w:szCs w:val="28"/>
        </w:rPr>
        <w:t>Semih Tezcan, “Divan Şiirinde Türkçe Kaygısı”, Bilig, S. 54 (2010), s. 255-267.</w:t>
      </w:r>
    </w:p>
    <w:p w:rsidR="002502BA" w:rsidRPr="002502BA" w:rsidRDefault="002502BA" w:rsidP="002502BA">
      <w:pPr>
        <w:spacing w:line="480" w:lineRule="auto"/>
        <w:ind w:firstLine="709"/>
        <w:jc w:val="both"/>
        <w:rPr>
          <w:b/>
          <w:sz w:val="28"/>
          <w:szCs w:val="28"/>
        </w:rPr>
      </w:pPr>
    </w:p>
    <w:p w:rsidR="00156004" w:rsidRPr="002502BA" w:rsidRDefault="002502BA" w:rsidP="002502BA">
      <w:pPr>
        <w:spacing w:line="480" w:lineRule="auto"/>
        <w:ind w:firstLine="567"/>
        <w:rPr>
          <w:sz w:val="28"/>
          <w:szCs w:val="28"/>
        </w:rPr>
      </w:pPr>
      <w:bookmarkStart w:id="0" w:name="_GoBack"/>
      <w:bookmarkEnd w:id="0"/>
      <w:r w:rsidRPr="002502BA">
        <w:rPr>
          <w:b/>
          <w:noProof/>
          <w:sz w:val="28"/>
          <w:szCs w:val="28"/>
        </w:rPr>
        <w:lastRenderedPageBreak/>
        <w:t xml:space="preserve">Gelibolulu Mustafa Âlî (öl. 1600) Divanı: </w:t>
      </w:r>
      <w:r w:rsidRPr="002502BA">
        <w:rPr>
          <w:noProof/>
          <w:sz w:val="28"/>
          <w:szCs w:val="28"/>
        </w:rPr>
        <w:t xml:space="preserve">Aksoyak, İsmail, Hakkı, </w:t>
      </w:r>
      <w:r w:rsidRPr="002502BA">
        <w:rPr>
          <w:i/>
          <w:noProof/>
          <w:sz w:val="28"/>
          <w:szCs w:val="28"/>
        </w:rPr>
        <w:t>Gelibolulu Mustafa Ali Divan I: İnceleme, Tenkitli Metin (Textual Analysis and Critical Edition); Divan II: Tenkitli Metin (Critical Edition); Divan III: Tenkitli Metin ve Tıpkıbasım (Critical Edition and Facsimile)</w:t>
      </w:r>
      <w:r w:rsidRPr="002502BA">
        <w:rPr>
          <w:noProof/>
          <w:sz w:val="28"/>
          <w:szCs w:val="28"/>
        </w:rPr>
        <w:t>, The Department of Near Eastern Languages &amp; Civilizations Harvard University, Cambridge, 2006.</w:t>
      </w:r>
    </w:p>
    <w:sectPr w:rsidR="00156004" w:rsidRPr="002502BA" w:rsidSect="002502BA">
      <w:pgSz w:w="16838" w:h="11906" w:orient="landscape"/>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2BA"/>
    <w:rsid w:val="00156004"/>
    <w:rsid w:val="002502BA"/>
    <w:rsid w:val="00764A60"/>
    <w:rsid w:val="00B83C8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730380B"/>
  <w15:chartTrackingRefBased/>
  <w15:docId w15:val="{2C7D0B14-3A5F-4C4F-8C52-818866092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tr-TR" w:eastAsia="en-US" w:bidi="ar-SA"/>
      </w:rPr>
    </w:rPrDefault>
    <w:pPrDefault>
      <w:pPr>
        <w:spacing w:line="480"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502BA"/>
    <w:pPr>
      <w:spacing w:line="240" w:lineRule="auto"/>
      <w:jc w:val="left"/>
    </w:pPr>
    <w:rPr>
      <w:rFonts w:eastAsia="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2502B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582</Words>
  <Characters>3324</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Beytullah Cinar</dc:creator>
  <cp:keywords/>
  <dc:description/>
  <cp:lastModifiedBy>Beytullah Cinar</cp:lastModifiedBy>
  <cp:revision>1</cp:revision>
  <dcterms:created xsi:type="dcterms:W3CDTF">2020-05-10T16:10:00Z</dcterms:created>
  <dcterms:modified xsi:type="dcterms:W3CDTF">2020-05-10T16:12:00Z</dcterms:modified>
</cp:coreProperties>
</file>