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C27" w:rsidRPr="00E16C27" w:rsidRDefault="00E16C27" w:rsidP="00E16C27">
      <w:pPr>
        <w:spacing w:before="120" w:line="480" w:lineRule="auto"/>
        <w:ind w:firstLine="709"/>
        <w:jc w:val="center"/>
        <w:rPr>
          <w:b/>
          <w:sz w:val="28"/>
          <w:szCs w:val="28"/>
        </w:rPr>
      </w:pPr>
      <w:bookmarkStart w:id="0" w:name="_GoBack"/>
      <w:r w:rsidRPr="00E16C27">
        <w:rPr>
          <w:b/>
          <w:sz w:val="32"/>
          <w:szCs w:val="32"/>
        </w:rPr>
        <w:t>XVI. YÜZYILDA NESİR</w:t>
      </w:r>
      <w:bookmarkEnd w:id="0"/>
    </w:p>
    <w:p w:rsidR="00E16C27" w:rsidRPr="00E16C27" w:rsidRDefault="00E16C27" w:rsidP="00E16C27">
      <w:pPr>
        <w:spacing w:line="480" w:lineRule="auto"/>
        <w:ind w:firstLine="709"/>
        <w:jc w:val="both"/>
        <w:rPr>
          <w:sz w:val="28"/>
          <w:szCs w:val="28"/>
        </w:rPr>
      </w:pPr>
      <w:r w:rsidRPr="00E16C27">
        <w:rPr>
          <w:sz w:val="28"/>
          <w:szCs w:val="28"/>
        </w:rPr>
        <w:t>N.Sami Banarlı, “XVI. Asırda Nesir”, RTET, C.1, s. 604-617.</w:t>
      </w:r>
    </w:p>
    <w:p w:rsidR="00E16C27" w:rsidRPr="00E16C27" w:rsidRDefault="00E16C27" w:rsidP="00E16C27">
      <w:pPr>
        <w:spacing w:line="480" w:lineRule="auto"/>
        <w:ind w:firstLine="709"/>
        <w:jc w:val="both"/>
        <w:rPr>
          <w:b/>
          <w:sz w:val="28"/>
          <w:szCs w:val="28"/>
        </w:rPr>
      </w:pPr>
      <w:r w:rsidRPr="00E16C27">
        <w:rPr>
          <w:b/>
          <w:sz w:val="32"/>
          <w:szCs w:val="32"/>
        </w:rPr>
        <w:t>GENEL OLARAK TEZKİRELER VE XVI.-XVII. YÜZYIL ŞUARA TEZKİRELERİ</w:t>
      </w:r>
    </w:p>
    <w:p w:rsidR="00E16C27" w:rsidRPr="00E16C27" w:rsidRDefault="00E16C27" w:rsidP="00E16C27">
      <w:pPr>
        <w:spacing w:before="120" w:line="480" w:lineRule="auto"/>
        <w:ind w:firstLine="709"/>
        <w:jc w:val="both"/>
        <w:rPr>
          <w:sz w:val="28"/>
          <w:szCs w:val="28"/>
        </w:rPr>
      </w:pPr>
      <w:r w:rsidRPr="00E16C27">
        <w:rPr>
          <w:b/>
          <w:i/>
          <w:sz w:val="28"/>
          <w:szCs w:val="28"/>
        </w:rPr>
        <w:t>Tezkire</w:t>
      </w:r>
      <w:r w:rsidRPr="00E16C27">
        <w:rPr>
          <w:b/>
          <w:sz w:val="28"/>
          <w:szCs w:val="28"/>
        </w:rPr>
        <w:t xml:space="preserve"> </w:t>
      </w:r>
      <w:r w:rsidRPr="00E16C27">
        <w:rPr>
          <w:sz w:val="28"/>
          <w:szCs w:val="28"/>
        </w:rPr>
        <w:t>bir edebiyat terimi olarak</w:t>
      </w:r>
      <w:r w:rsidRPr="00E16C27">
        <w:rPr>
          <w:b/>
          <w:sz w:val="28"/>
          <w:szCs w:val="28"/>
        </w:rPr>
        <w:t xml:space="preserve">, </w:t>
      </w:r>
      <w:r w:rsidRPr="00E16C27">
        <w:rPr>
          <w:sz w:val="28"/>
          <w:szCs w:val="28"/>
        </w:rPr>
        <w:t>şair, hattat, vezir, şeyh, evliya vb. gibi</w:t>
      </w:r>
      <w:r w:rsidRPr="00E16C27">
        <w:rPr>
          <w:b/>
          <w:sz w:val="28"/>
          <w:szCs w:val="28"/>
        </w:rPr>
        <w:t xml:space="preserve"> </w:t>
      </w:r>
      <w:r w:rsidRPr="00E16C27">
        <w:rPr>
          <w:sz w:val="28"/>
          <w:szCs w:val="28"/>
        </w:rPr>
        <w:t>çeşitli mesleklerden ünlü kişilerin</w:t>
      </w:r>
      <w:r w:rsidRPr="00E16C27">
        <w:rPr>
          <w:b/>
          <w:sz w:val="28"/>
          <w:szCs w:val="28"/>
        </w:rPr>
        <w:t xml:space="preserve"> </w:t>
      </w:r>
      <w:r w:rsidRPr="00E16C27">
        <w:rPr>
          <w:sz w:val="28"/>
          <w:szCs w:val="28"/>
        </w:rPr>
        <w:t>biyografilerinin bir araya toplandığı eserlere verilen addır. Dolayısıyla tezkiretü’ş-şuara, tezkiretü’l-evliya, tezkiretü’l-hattâtîn gibi adlandırmaların yanı sıra kapsadığı kişilere göre farklı adlandırmalarla da bilinirler.</w:t>
      </w:r>
    </w:p>
    <w:p w:rsidR="00E16C27" w:rsidRPr="00E16C27" w:rsidRDefault="00E16C27" w:rsidP="00E16C27">
      <w:pPr>
        <w:spacing w:before="120" w:line="480" w:lineRule="auto"/>
        <w:ind w:firstLine="709"/>
        <w:jc w:val="both"/>
        <w:rPr>
          <w:sz w:val="28"/>
          <w:szCs w:val="28"/>
        </w:rPr>
      </w:pPr>
      <w:r w:rsidRPr="00E16C27">
        <w:rPr>
          <w:sz w:val="28"/>
          <w:szCs w:val="28"/>
        </w:rPr>
        <w:t xml:space="preserve">Şair biyografilerini içeren tezkirelere </w:t>
      </w:r>
      <w:r w:rsidRPr="00E16C27">
        <w:rPr>
          <w:b/>
          <w:i/>
          <w:sz w:val="28"/>
          <w:szCs w:val="28"/>
        </w:rPr>
        <w:t>tezkire-i şuarâ</w:t>
      </w:r>
      <w:r w:rsidRPr="00E16C27">
        <w:rPr>
          <w:sz w:val="28"/>
          <w:szCs w:val="28"/>
        </w:rPr>
        <w:t xml:space="preserve"> veya </w:t>
      </w:r>
      <w:r w:rsidRPr="00E16C27">
        <w:rPr>
          <w:b/>
          <w:i/>
          <w:sz w:val="28"/>
          <w:szCs w:val="28"/>
        </w:rPr>
        <w:t>tezkiretü’ş-şuarâ</w:t>
      </w:r>
      <w:r w:rsidRPr="00E16C27">
        <w:rPr>
          <w:sz w:val="28"/>
          <w:szCs w:val="28"/>
        </w:rPr>
        <w:t xml:space="preserve"> (şairler tezkiresi) denir. Şairlerin adları ya da mahlaslarına göre alfabe sırasına göre düzenlenen bu eserlerde genel olarak kişilerin kısa biyografisi, resmî görevleri ve bu görevlerde katettikleri aşamalar, edebî kişilikleri ve eserleri hakkında bilgilerle şiirlerinden örneklere yer verilir. Ancak her zaman bu bilgiler bütünüyle yer almayabilir. Çoğu zaman şairlerin doğum ve ölüm tarihleriyle yerleri hakkında tam ve açık bilgi verilmez, hatta doğum tarihleri hemen hemen yoktur, ölüm tarihleri ise eksiktir. Şairlerin eserleri hakkında verilen bilgilerin yetersizliği de tezkirelerin en eksik yönüdür. Genellikle münşiyane (sanatlı, süslü) bir üslupla yazılan tezkirelerde üslup kaygısı ile gerçek bilgiler </w:t>
      </w:r>
      <w:r w:rsidRPr="00E16C27">
        <w:rPr>
          <w:sz w:val="28"/>
          <w:szCs w:val="28"/>
        </w:rPr>
        <w:lastRenderedPageBreak/>
        <w:t>ihmal edilmiştir. Şairler hakkındaki yargılar basmakalıptır, övgü ve yergiler abartılıdır dolayısıyla kişilerin gerçek portresi ve nitelikleri açıkça gösterilmemiştir bu nedenle edebiyat tarihi açısından objektif bir nitelik taşımazlar. Bununla birlikte, kimi tezkirelerde, kişileri tasvir eden satırlar arasında yer alan bazı ifadeler, fıkralar ve anekdotlar şair veya şairin yaşadığı devrin toplum yapısı hakkında önemli bilgiler verir. Dolayısıyla tezkirelerin en özgün yönü budur. Şunu da hemen belirtmek gerekir ki tezkireler genel olarak bu niteliklere sahip olmakla birlikte, hepsi aynı önem ve değerde değildir. Yazıldıkları dönem içinde değerlendirildiklerinde, bugünkü edebiyat tarihlerinin yerini tutan bu eserler son derece önemli eserlerdir.</w:t>
      </w:r>
    </w:p>
    <w:p w:rsidR="00E16C27" w:rsidRPr="00E16C27" w:rsidRDefault="00E16C27" w:rsidP="00E16C27">
      <w:pPr>
        <w:spacing w:line="480" w:lineRule="auto"/>
        <w:ind w:firstLine="709"/>
        <w:jc w:val="both"/>
        <w:rPr>
          <w:sz w:val="28"/>
          <w:szCs w:val="28"/>
        </w:rPr>
      </w:pPr>
      <w:r w:rsidRPr="00E16C27">
        <w:rPr>
          <w:sz w:val="28"/>
          <w:szCs w:val="28"/>
        </w:rPr>
        <w:t xml:space="preserve">Türk edebiyatında ilk tezkire XV. yüzyılda A. Şir Nevai’nin Orta Asya’da Çağatay lehçesiyle yazdığı </w:t>
      </w:r>
      <w:r w:rsidRPr="00E16C27">
        <w:rPr>
          <w:b/>
          <w:i/>
          <w:sz w:val="28"/>
          <w:szCs w:val="28"/>
        </w:rPr>
        <w:t>Mecâlisü’n-Nefâ’is</w:t>
      </w:r>
      <w:r w:rsidRPr="00E16C27">
        <w:rPr>
          <w:sz w:val="28"/>
          <w:szCs w:val="28"/>
        </w:rPr>
        <w:t xml:space="preserve"> (yt.1501) ’tir. Batı Türkçesiyle Anadolu sahasında yazılan ilk tezkire ise Sehi Beg’in </w:t>
      </w:r>
      <w:r w:rsidRPr="00E16C27">
        <w:rPr>
          <w:b/>
          <w:i/>
          <w:sz w:val="28"/>
          <w:szCs w:val="28"/>
        </w:rPr>
        <w:t>Heşt-Behişt</w:t>
      </w:r>
      <w:r w:rsidRPr="00E16C27">
        <w:rPr>
          <w:sz w:val="28"/>
          <w:szCs w:val="28"/>
        </w:rPr>
        <w:t xml:space="preserve"> adlı tezkiresidir. XIX. yüzyılda Fatin (Davud) tarafından yazılan </w:t>
      </w:r>
      <w:r w:rsidRPr="00E16C27">
        <w:rPr>
          <w:b/>
          <w:i/>
          <w:sz w:val="28"/>
          <w:szCs w:val="28"/>
        </w:rPr>
        <w:t>Hâtimetü’l-Eş’âr</w:t>
      </w:r>
      <w:r w:rsidRPr="00E16C27">
        <w:rPr>
          <w:sz w:val="28"/>
          <w:szCs w:val="28"/>
        </w:rPr>
        <w:t xml:space="preserve"> ile tezkire devri kapanmıştır. Bu tarihten sonra bu yolda birkaç eser daha yazılmıştır. XVI. ve XVII. yüzyıl şuara tezkireleri ve yazarları şunlardır:</w:t>
      </w:r>
    </w:p>
    <w:p w:rsidR="00E16C27" w:rsidRPr="00E16C27" w:rsidRDefault="00E16C27" w:rsidP="00E16C27">
      <w:pPr>
        <w:spacing w:line="480" w:lineRule="auto"/>
        <w:ind w:firstLine="709"/>
        <w:jc w:val="both"/>
        <w:rPr>
          <w:b/>
          <w:sz w:val="28"/>
          <w:szCs w:val="28"/>
          <w:u w:val="single"/>
        </w:rPr>
      </w:pPr>
      <w:r w:rsidRPr="00E16C27">
        <w:rPr>
          <w:b/>
          <w:sz w:val="28"/>
          <w:szCs w:val="28"/>
          <w:u w:val="single"/>
        </w:rPr>
        <w:t>XVI.Yüzyıl Şuara Tezkireleri</w:t>
      </w:r>
    </w:p>
    <w:p w:rsidR="00E16C27" w:rsidRPr="00E16C27" w:rsidRDefault="00E16C27" w:rsidP="00E16C27">
      <w:pPr>
        <w:spacing w:line="480" w:lineRule="auto"/>
        <w:ind w:left="709"/>
        <w:jc w:val="both"/>
        <w:rPr>
          <w:sz w:val="28"/>
          <w:szCs w:val="28"/>
        </w:rPr>
      </w:pPr>
      <w:r w:rsidRPr="00E16C27">
        <w:rPr>
          <w:sz w:val="28"/>
          <w:szCs w:val="28"/>
        </w:rPr>
        <w:t xml:space="preserve">1. Nevai- </w:t>
      </w:r>
      <w:r w:rsidRPr="00E16C27">
        <w:rPr>
          <w:i/>
          <w:sz w:val="28"/>
          <w:szCs w:val="28"/>
        </w:rPr>
        <w:t>Mecâlisü’n-Nefâ’is</w:t>
      </w:r>
    </w:p>
    <w:p w:rsidR="00E16C27" w:rsidRPr="00E16C27" w:rsidRDefault="00E16C27" w:rsidP="00E16C27">
      <w:pPr>
        <w:spacing w:line="480" w:lineRule="auto"/>
        <w:ind w:left="709"/>
        <w:jc w:val="both"/>
        <w:rPr>
          <w:sz w:val="28"/>
          <w:szCs w:val="28"/>
        </w:rPr>
      </w:pPr>
      <w:r w:rsidRPr="00E16C27">
        <w:rPr>
          <w:sz w:val="28"/>
          <w:szCs w:val="28"/>
        </w:rPr>
        <w:t xml:space="preserve">2. Sehi Beg- </w:t>
      </w:r>
      <w:r w:rsidRPr="00E16C27">
        <w:rPr>
          <w:i/>
          <w:sz w:val="28"/>
          <w:szCs w:val="28"/>
        </w:rPr>
        <w:t>Heşt Behişt</w:t>
      </w:r>
    </w:p>
    <w:p w:rsidR="00E16C27" w:rsidRPr="00E16C27" w:rsidRDefault="00E16C27" w:rsidP="00E16C27">
      <w:pPr>
        <w:spacing w:line="480" w:lineRule="auto"/>
        <w:ind w:left="709"/>
        <w:jc w:val="both"/>
        <w:rPr>
          <w:sz w:val="28"/>
          <w:szCs w:val="28"/>
        </w:rPr>
      </w:pPr>
      <w:r w:rsidRPr="00E16C27">
        <w:rPr>
          <w:sz w:val="28"/>
          <w:szCs w:val="28"/>
        </w:rPr>
        <w:lastRenderedPageBreak/>
        <w:t>3. Latifi-</w:t>
      </w:r>
      <w:r w:rsidRPr="00E16C27">
        <w:rPr>
          <w:i/>
          <w:sz w:val="28"/>
          <w:szCs w:val="28"/>
        </w:rPr>
        <w:t>Latifî Tezkiresi</w:t>
      </w:r>
    </w:p>
    <w:p w:rsidR="00E16C27" w:rsidRPr="00E16C27" w:rsidRDefault="00E16C27" w:rsidP="00E16C27">
      <w:pPr>
        <w:spacing w:line="480" w:lineRule="auto"/>
        <w:ind w:left="709"/>
        <w:jc w:val="both"/>
        <w:rPr>
          <w:sz w:val="28"/>
          <w:szCs w:val="28"/>
        </w:rPr>
      </w:pPr>
      <w:r w:rsidRPr="00E16C27">
        <w:rPr>
          <w:sz w:val="28"/>
          <w:szCs w:val="28"/>
        </w:rPr>
        <w:t>4.Ahdî-</w:t>
      </w:r>
      <w:r w:rsidRPr="00E16C27">
        <w:rPr>
          <w:i/>
          <w:sz w:val="28"/>
          <w:szCs w:val="28"/>
        </w:rPr>
        <w:t>Gülşen-i Şuarâ</w:t>
      </w:r>
    </w:p>
    <w:p w:rsidR="00E16C27" w:rsidRPr="00E16C27" w:rsidRDefault="00E16C27" w:rsidP="00E16C27">
      <w:pPr>
        <w:spacing w:line="480" w:lineRule="auto"/>
        <w:ind w:left="709"/>
        <w:jc w:val="both"/>
        <w:rPr>
          <w:sz w:val="28"/>
          <w:szCs w:val="28"/>
        </w:rPr>
      </w:pPr>
      <w:r w:rsidRPr="00E16C27">
        <w:rPr>
          <w:sz w:val="28"/>
          <w:szCs w:val="28"/>
        </w:rPr>
        <w:t xml:space="preserve">5. Âşık Çelebi- </w:t>
      </w:r>
      <w:r w:rsidRPr="00E16C27">
        <w:rPr>
          <w:i/>
          <w:sz w:val="28"/>
          <w:szCs w:val="28"/>
        </w:rPr>
        <w:t>Meşâ’irü’ş-Şuarâ</w:t>
      </w:r>
    </w:p>
    <w:p w:rsidR="00E16C27" w:rsidRPr="00E16C27" w:rsidRDefault="00E16C27" w:rsidP="00E16C27">
      <w:pPr>
        <w:spacing w:line="480" w:lineRule="auto"/>
        <w:ind w:left="709"/>
        <w:jc w:val="both"/>
        <w:rPr>
          <w:sz w:val="28"/>
          <w:szCs w:val="28"/>
        </w:rPr>
      </w:pPr>
      <w:r w:rsidRPr="00E16C27">
        <w:rPr>
          <w:sz w:val="28"/>
          <w:szCs w:val="28"/>
        </w:rPr>
        <w:t>6. Kınalızâde Hasan Çelebi-</w:t>
      </w:r>
      <w:r w:rsidRPr="00E16C27">
        <w:rPr>
          <w:i/>
          <w:sz w:val="28"/>
          <w:szCs w:val="28"/>
        </w:rPr>
        <w:t>Kınalızâde Tezkiresi</w:t>
      </w:r>
    </w:p>
    <w:p w:rsidR="00E16C27" w:rsidRPr="00E16C27" w:rsidRDefault="00E16C27" w:rsidP="00E16C27">
      <w:pPr>
        <w:spacing w:line="480" w:lineRule="auto"/>
        <w:ind w:left="709"/>
        <w:jc w:val="both"/>
        <w:rPr>
          <w:sz w:val="28"/>
          <w:szCs w:val="28"/>
        </w:rPr>
      </w:pPr>
      <w:r w:rsidRPr="00E16C27">
        <w:rPr>
          <w:sz w:val="28"/>
          <w:szCs w:val="28"/>
        </w:rPr>
        <w:t xml:space="preserve">7. Beyânî- </w:t>
      </w:r>
      <w:r w:rsidRPr="00E16C27">
        <w:rPr>
          <w:i/>
          <w:sz w:val="28"/>
          <w:szCs w:val="28"/>
        </w:rPr>
        <w:t>Beyânî Tezkiresi</w:t>
      </w:r>
    </w:p>
    <w:p w:rsidR="00E16C27" w:rsidRPr="00E16C27" w:rsidRDefault="00E16C27" w:rsidP="00E16C27">
      <w:pPr>
        <w:spacing w:line="480" w:lineRule="auto"/>
        <w:ind w:left="709"/>
        <w:jc w:val="both"/>
        <w:rPr>
          <w:b/>
          <w:sz w:val="28"/>
          <w:szCs w:val="28"/>
          <w:u w:val="single"/>
        </w:rPr>
      </w:pPr>
      <w:r w:rsidRPr="00E16C27">
        <w:rPr>
          <w:b/>
          <w:sz w:val="28"/>
          <w:szCs w:val="28"/>
          <w:u w:val="single"/>
        </w:rPr>
        <w:t>XVII. Yüzyıl Şuara Tezkireleri</w:t>
      </w:r>
    </w:p>
    <w:p w:rsidR="00E16C27" w:rsidRPr="00E16C27" w:rsidRDefault="00E16C27" w:rsidP="00E16C27">
      <w:pPr>
        <w:spacing w:line="480" w:lineRule="auto"/>
        <w:ind w:left="709"/>
        <w:jc w:val="both"/>
        <w:rPr>
          <w:sz w:val="28"/>
          <w:szCs w:val="28"/>
        </w:rPr>
      </w:pPr>
      <w:r w:rsidRPr="00E16C27">
        <w:rPr>
          <w:sz w:val="28"/>
          <w:szCs w:val="28"/>
        </w:rPr>
        <w:t xml:space="preserve">1. Sâdıkî- </w:t>
      </w:r>
      <w:r w:rsidRPr="00E16C27">
        <w:rPr>
          <w:i/>
          <w:sz w:val="28"/>
          <w:szCs w:val="28"/>
        </w:rPr>
        <w:t>Mecma’u’l-Havâs</w:t>
      </w:r>
    </w:p>
    <w:p w:rsidR="00E16C27" w:rsidRPr="00E16C27" w:rsidRDefault="00E16C27" w:rsidP="00E16C27">
      <w:pPr>
        <w:spacing w:line="480" w:lineRule="auto"/>
        <w:ind w:left="709"/>
        <w:jc w:val="both"/>
        <w:rPr>
          <w:sz w:val="28"/>
          <w:szCs w:val="28"/>
        </w:rPr>
      </w:pPr>
      <w:r w:rsidRPr="00E16C27">
        <w:rPr>
          <w:sz w:val="28"/>
          <w:szCs w:val="28"/>
        </w:rPr>
        <w:t>2. Riyâzî-</w:t>
      </w:r>
      <w:r w:rsidRPr="00E16C27">
        <w:rPr>
          <w:i/>
          <w:sz w:val="28"/>
          <w:szCs w:val="28"/>
        </w:rPr>
        <w:t>Riyâzü’ş-Şuarâ</w:t>
      </w:r>
    </w:p>
    <w:p w:rsidR="00E16C27" w:rsidRPr="00E16C27" w:rsidRDefault="00E16C27" w:rsidP="00E16C27">
      <w:pPr>
        <w:spacing w:line="480" w:lineRule="auto"/>
        <w:ind w:left="709"/>
        <w:jc w:val="both"/>
        <w:rPr>
          <w:sz w:val="28"/>
          <w:szCs w:val="28"/>
        </w:rPr>
      </w:pPr>
      <w:r w:rsidRPr="00E16C27">
        <w:rPr>
          <w:sz w:val="28"/>
          <w:szCs w:val="28"/>
        </w:rPr>
        <w:t xml:space="preserve">3. Kafzâde Fâizî- </w:t>
      </w:r>
      <w:r w:rsidRPr="00E16C27">
        <w:rPr>
          <w:i/>
          <w:sz w:val="28"/>
          <w:szCs w:val="28"/>
        </w:rPr>
        <w:t>Zübdetü’l-Eş’âr</w:t>
      </w:r>
    </w:p>
    <w:p w:rsidR="00E16C27" w:rsidRPr="00E16C27" w:rsidRDefault="00E16C27" w:rsidP="00E16C27">
      <w:pPr>
        <w:spacing w:line="480" w:lineRule="auto"/>
        <w:ind w:left="709"/>
        <w:jc w:val="both"/>
        <w:rPr>
          <w:sz w:val="28"/>
          <w:szCs w:val="28"/>
        </w:rPr>
      </w:pPr>
      <w:r w:rsidRPr="00E16C27">
        <w:rPr>
          <w:sz w:val="28"/>
          <w:szCs w:val="28"/>
        </w:rPr>
        <w:t>4. Rıza-</w:t>
      </w:r>
      <w:r w:rsidRPr="00E16C27">
        <w:rPr>
          <w:i/>
          <w:sz w:val="28"/>
          <w:szCs w:val="28"/>
        </w:rPr>
        <w:t>Rıza Tezkiresi</w:t>
      </w:r>
    </w:p>
    <w:p w:rsidR="00E16C27" w:rsidRPr="00E16C27" w:rsidRDefault="00E16C27" w:rsidP="00E16C27">
      <w:pPr>
        <w:spacing w:line="480" w:lineRule="auto"/>
        <w:ind w:left="709"/>
        <w:jc w:val="both"/>
        <w:rPr>
          <w:sz w:val="28"/>
          <w:szCs w:val="28"/>
        </w:rPr>
      </w:pPr>
      <w:r w:rsidRPr="00E16C27">
        <w:rPr>
          <w:sz w:val="28"/>
          <w:szCs w:val="28"/>
        </w:rPr>
        <w:t>5. Yümnî-</w:t>
      </w:r>
      <w:r w:rsidRPr="00E16C27">
        <w:rPr>
          <w:i/>
          <w:sz w:val="28"/>
          <w:szCs w:val="28"/>
        </w:rPr>
        <w:t>Yümnî Tezkiresi</w:t>
      </w:r>
    </w:p>
    <w:p w:rsidR="00E16C27" w:rsidRPr="00E16C27" w:rsidRDefault="00E16C27" w:rsidP="00E16C27">
      <w:pPr>
        <w:spacing w:line="480" w:lineRule="auto"/>
        <w:ind w:left="709"/>
        <w:jc w:val="both"/>
        <w:rPr>
          <w:sz w:val="28"/>
          <w:szCs w:val="28"/>
        </w:rPr>
      </w:pPr>
      <w:r w:rsidRPr="00E16C27">
        <w:rPr>
          <w:sz w:val="28"/>
          <w:szCs w:val="28"/>
        </w:rPr>
        <w:t xml:space="preserve">6. Âsım- Zeyl-i </w:t>
      </w:r>
      <w:r w:rsidRPr="00E16C27">
        <w:rPr>
          <w:i/>
          <w:sz w:val="28"/>
          <w:szCs w:val="28"/>
        </w:rPr>
        <w:t>Zübdetü’l-Eş’âr</w:t>
      </w:r>
    </w:p>
    <w:p w:rsidR="00156004" w:rsidRPr="00E16C27" w:rsidRDefault="00E16C27" w:rsidP="00E16C27">
      <w:pPr>
        <w:spacing w:line="480" w:lineRule="auto"/>
        <w:ind w:firstLine="708"/>
        <w:rPr>
          <w:sz w:val="28"/>
          <w:szCs w:val="28"/>
        </w:rPr>
      </w:pPr>
      <w:r w:rsidRPr="00E16C27">
        <w:rPr>
          <w:sz w:val="28"/>
          <w:szCs w:val="28"/>
        </w:rPr>
        <w:t>7.</w:t>
      </w:r>
      <w:r>
        <w:rPr>
          <w:sz w:val="28"/>
          <w:szCs w:val="28"/>
        </w:rPr>
        <w:t xml:space="preserve"> </w:t>
      </w:r>
      <w:r w:rsidRPr="00E16C27">
        <w:rPr>
          <w:sz w:val="28"/>
          <w:szCs w:val="28"/>
        </w:rPr>
        <w:t>Güftî-</w:t>
      </w:r>
      <w:r w:rsidRPr="00E16C27">
        <w:rPr>
          <w:i/>
          <w:sz w:val="28"/>
          <w:szCs w:val="28"/>
        </w:rPr>
        <w:t>Teşrîfâtü’ş-Şuarâ</w:t>
      </w:r>
    </w:p>
    <w:sectPr w:rsidR="00156004" w:rsidRPr="00E16C27" w:rsidSect="00E16C27">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27"/>
    <w:rsid w:val="00156004"/>
    <w:rsid w:val="00764A60"/>
    <w:rsid w:val="00B83C82"/>
    <w:rsid w:val="00E16C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3D42"/>
  <w15:chartTrackingRefBased/>
  <w15:docId w15:val="{15714CDF-7EC4-4594-B1F3-FDE53FCD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6C27"/>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2020-05-10T16:13:00Z</dcterms:created>
  <dcterms:modified xsi:type="dcterms:W3CDTF">2020-05-10T16:15:00Z</dcterms:modified>
</cp:coreProperties>
</file>