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AF" w:rsidRPr="007B5C33" w:rsidRDefault="005758AF" w:rsidP="005758AF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Die </w:t>
      </w:r>
      <w:proofErr w:type="spellStart"/>
      <w:r w:rsidRPr="007B5C33">
        <w:rPr>
          <w:rFonts w:ascii="Times New Roman" w:eastAsia="Calibri" w:hAnsi="Times New Roman" w:cs="Times New Roman"/>
          <w:b/>
          <w:sz w:val="36"/>
          <w:szCs w:val="36"/>
        </w:rPr>
        <w:t>Kurzgeschichte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grenzt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sich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gegen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die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Abgeschlossenheit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erzählten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Begebenheit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in der </w:t>
      </w:r>
      <w:proofErr w:type="spellStart"/>
      <w:r w:rsidRPr="007B5C33">
        <w:rPr>
          <w:rFonts w:ascii="Times New Roman" w:eastAsia="Calibri" w:hAnsi="Times New Roman" w:cs="Times New Roman"/>
          <w:b/>
          <w:sz w:val="36"/>
          <w:szCs w:val="36"/>
        </w:rPr>
        <w:t>Novelle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durch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ihre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strukturelle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Offenheit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ab. Die </w:t>
      </w:r>
      <w:proofErr w:type="spellStart"/>
      <w:r w:rsidRPr="007B5C33">
        <w:rPr>
          <w:rFonts w:ascii="Times New Roman" w:eastAsia="Calibri" w:hAnsi="Times New Roman" w:cs="Times New Roman"/>
          <w:b/>
          <w:sz w:val="36"/>
          <w:szCs w:val="36"/>
        </w:rPr>
        <w:t>Kurzgeschichte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setzt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sich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in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deutschen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Literatur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vor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allem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nach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1945,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unter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dem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Einfluss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amerikanischer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Vorbilder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als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beliebteste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Form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kürzerer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Erzählprosa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durch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. Die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Kurzgeschichte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erzählt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einschneidende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Umbruchsituation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im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Leben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Individuums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setzt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unvermittelt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ein und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endet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ebenso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offen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lässt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die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Auswirkungen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des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erzählten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Geschehens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auf das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weitere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Leben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Betroffenen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nur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erahnen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Die  </w:t>
      </w:r>
      <w:proofErr w:type="spellStart"/>
      <w:r w:rsidRPr="007B5C33">
        <w:rPr>
          <w:rFonts w:ascii="Times New Roman" w:eastAsia="Calibri" w:hAnsi="Times New Roman" w:cs="Times New Roman"/>
          <w:b/>
          <w:sz w:val="36"/>
          <w:szCs w:val="36"/>
        </w:rPr>
        <w:t>Kurzgeschichte</w:t>
      </w:r>
      <w:proofErr w:type="spellEnd"/>
      <w:proofErr w:type="gramEnd"/>
      <w:r w:rsidRPr="007B5C3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ist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kurze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Geschichte.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Sie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vermittelt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immer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Botschaft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die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entschlüsselt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werden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soll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5758AF" w:rsidRPr="007B5C33" w:rsidRDefault="005758AF" w:rsidP="005758AF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Besondere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Merkmale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Kurzgeschichte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758AF" w:rsidRPr="007B5C33" w:rsidRDefault="005758AF" w:rsidP="005758AF">
      <w:pPr>
        <w:numPr>
          <w:ilvl w:val="0"/>
          <w:numId w:val="2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relativ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kurz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numPr>
          <w:ilvl w:val="0"/>
          <w:numId w:val="2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proofErr w:type="gramStart"/>
      <w:r w:rsidRPr="007B5C33">
        <w:rPr>
          <w:rFonts w:ascii="Times New Roman" w:eastAsia="Calibri" w:hAnsi="Times New Roman" w:cs="Times New Roman"/>
          <w:sz w:val="36"/>
          <w:szCs w:val="36"/>
        </w:rPr>
        <w:lastRenderedPageBreak/>
        <w:t>keine</w:t>
      </w:r>
      <w:proofErr w:type="spellEnd"/>
      <w:proofErr w:type="gram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Einleitung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sondern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unmittelbarer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Beginn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Handlung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Exposition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d. h.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keine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ausführliche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Vorstellung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Figuren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des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Handlungsortes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beschränkt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auf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wenige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anonyme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Figuren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die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Personen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haben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oft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keinen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Namen,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sondern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heißen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nur „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sie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“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„er“.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beschränkt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auf ein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zentrales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Thema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einen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zentralen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Konflikt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Wendepunkt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der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oftmals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überraschend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erfolgt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meistens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werden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alltägliche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Probleme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behandelt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häufig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in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Alltagssprache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oder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sogar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Umgangssprache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geschrieben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758AF" w:rsidRPr="007B5C33" w:rsidRDefault="005758AF" w:rsidP="005758AF">
      <w:pPr>
        <w:spacing w:after="20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- 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meist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plötzliches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und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offenes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Ende.</w:t>
      </w:r>
    </w:p>
    <w:p w:rsidR="005758AF" w:rsidRPr="007B5C33" w:rsidRDefault="005758AF" w:rsidP="005758AF">
      <w:pPr>
        <w:numPr>
          <w:ilvl w:val="0"/>
          <w:numId w:val="3"/>
        </w:numPr>
        <w:spacing w:after="200" w:line="48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7B5C33">
        <w:rPr>
          <w:rFonts w:ascii="Times New Roman" w:eastAsia="Calibri" w:hAnsi="Times New Roman" w:cs="Times New Roman"/>
          <w:b/>
          <w:sz w:val="36"/>
          <w:szCs w:val="36"/>
        </w:rPr>
        <w:t>Kurzgeschichten</w:t>
      </w:r>
      <w:proofErr w:type="spellEnd"/>
      <w:r w:rsidRPr="007B5C3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schrieben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W.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Borchert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G.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Eich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F.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Dürrenmatt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H.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Böll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S. Lenz, W.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Schnurre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, I. </w:t>
      </w:r>
      <w:proofErr w:type="spellStart"/>
      <w:r w:rsidRPr="007B5C33">
        <w:rPr>
          <w:rFonts w:ascii="Times New Roman" w:eastAsia="Calibri" w:hAnsi="Times New Roman" w:cs="Times New Roman"/>
          <w:sz w:val="36"/>
          <w:szCs w:val="36"/>
        </w:rPr>
        <w:t>Aichinger</w:t>
      </w:r>
      <w:proofErr w:type="spellEnd"/>
      <w:r w:rsidRPr="007B5C33">
        <w:rPr>
          <w:rFonts w:ascii="Times New Roman" w:eastAsia="Calibri" w:hAnsi="Times New Roman" w:cs="Times New Roman"/>
          <w:sz w:val="36"/>
          <w:szCs w:val="36"/>
        </w:rPr>
        <w:t xml:space="preserve"> u.a.</w:t>
      </w:r>
    </w:p>
    <w:p w:rsidR="00323370" w:rsidRDefault="00323370"/>
    <w:sectPr w:rsidR="00323370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13E"/>
    <w:multiLevelType w:val="hybridMultilevel"/>
    <w:tmpl w:val="BE0EC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45C6C"/>
    <w:multiLevelType w:val="hybridMultilevel"/>
    <w:tmpl w:val="4B4AAA58"/>
    <w:lvl w:ilvl="0" w:tplc="6332F59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F15593"/>
    <w:multiLevelType w:val="hybridMultilevel"/>
    <w:tmpl w:val="3D3A46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758AF"/>
    <w:rsid w:val="00162A17"/>
    <w:rsid w:val="00323370"/>
    <w:rsid w:val="005758AF"/>
    <w:rsid w:val="00734907"/>
    <w:rsid w:val="00B368FA"/>
    <w:rsid w:val="00F4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AF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>Hewlett-Packard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2</cp:revision>
  <dcterms:created xsi:type="dcterms:W3CDTF">2020-05-10T19:55:00Z</dcterms:created>
  <dcterms:modified xsi:type="dcterms:W3CDTF">2020-05-10T19:55:00Z</dcterms:modified>
</cp:coreProperties>
</file>