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TIP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201 </w:t>
            </w: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Cavitas nasi, sinus paranasales, pharynx, Waldeyer</w:t>
            </w:r>
            <w:r>
              <w:rPr>
                <w:rFonts w:ascii="Calibri" w:hAnsi="Calibri" w:hint="default"/>
                <w:sz w:val="18"/>
                <w:szCs w:val="18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in lenfa</w:t>
            </w: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ti</w:t>
            </w: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k halkas</w:t>
            </w:r>
            <w:r>
              <w:rPr>
                <w:rFonts w:ascii="Calibri" w:hAnsi="Calibri" w:hint="default"/>
                <w:sz w:val="18"/>
                <w:szCs w:val="18"/>
                <w:rtl w:val="0"/>
                <w:lang w:val="en-US"/>
              </w:rPr>
              <w:t xml:space="preserve">ı 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rk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8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