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274" w:rsidRPr="006E683E" w:rsidRDefault="00186368" w:rsidP="006E683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E683E">
        <w:rPr>
          <w:rFonts w:ascii="Times New Roman" w:hAnsi="Times New Roman" w:cs="Times New Roman"/>
          <w:b/>
          <w:sz w:val="24"/>
          <w:szCs w:val="24"/>
        </w:rPr>
        <w:t>Merleau-Ponty’nin</w:t>
      </w:r>
      <w:proofErr w:type="spellEnd"/>
      <w:r w:rsidRPr="006E683E">
        <w:rPr>
          <w:rFonts w:ascii="Times New Roman" w:hAnsi="Times New Roman" w:cs="Times New Roman"/>
          <w:b/>
          <w:sz w:val="24"/>
          <w:szCs w:val="24"/>
        </w:rPr>
        <w:t xml:space="preserve"> Fenomenolojisi II</w:t>
      </w:r>
      <w:r w:rsidRPr="006E683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86368" w:rsidRPr="006E683E" w:rsidRDefault="00186368" w:rsidP="006E683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_GoBack"/>
      <w:bookmarkEnd w:id="0"/>
      <w:r w:rsidRPr="006E68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E68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</w:t>
      </w:r>
      <w:proofErr w:type="spellStart"/>
      <w:r w:rsidRPr="006E683E">
        <w:rPr>
          <w:rFonts w:ascii="Times New Roman" w:hAnsi="Times New Roman" w:cs="Times New Roman"/>
          <w:sz w:val="24"/>
          <w:szCs w:val="24"/>
          <w:shd w:val="clear" w:color="auto" w:fill="FFFFFF"/>
        </w:rPr>
        <w:t>Merleau-Ponty'nin</w:t>
      </w:r>
      <w:proofErr w:type="spellEnd"/>
      <w:r w:rsidRPr="006E68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varoluşçu felsefesini fenomenolojik bir yönde geliştirmiş olduğu bilinir. </w:t>
      </w:r>
      <w:proofErr w:type="spellStart"/>
      <w:r w:rsidRPr="006E683E">
        <w:rPr>
          <w:rFonts w:ascii="Times New Roman" w:hAnsi="Times New Roman" w:cs="Times New Roman"/>
          <w:sz w:val="24"/>
          <w:szCs w:val="24"/>
          <w:shd w:val="clear" w:color="auto" w:fill="FFFFFF"/>
        </w:rPr>
        <w:t>Merleau-Ponty</w:t>
      </w:r>
      <w:proofErr w:type="spellEnd"/>
      <w:r w:rsidRPr="006E683E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6E683E"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fldChar w:fldCharType="begin"/>
      </w:r>
      <w:r w:rsidRPr="006E683E"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instrText xml:space="preserve"> HYPERLINK "https://tr.wikipedia.org/wiki/Edmund_Husserl" \o "Edmund Husserl" </w:instrText>
      </w:r>
      <w:r w:rsidRPr="006E683E"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fldChar w:fldCharType="separate"/>
      </w:r>
      <w:r w:rsidRPr="006E683E"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Edmund</w:t>
      </w:r>
      <w:proofErr w:type="spellEnd"/>
      <w:r w:rsidRPr="006E683E"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proofErr w:type="spellStart"/>
      <w:r w:rsidRPr="006E683E"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Husserl</w:t>
      </w:r>
      <w:r w:rsidRPr="006E683E"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fldChar w:fldCharType="end"/>
      </w:r>
      <w:r w:rsidRPr="006E683E">
        <w:rPr>
          <w:rFonts w:ascii="Times New Roman" w:hAnsi="Times New Roman" w:cs="Times New Roman"/>
          <w:sz w:val="24"/>
          <w:szCs w:val="24"/>
          <w:shd w:val="clear" w:color="auto" w:fill="FFFFFF"/>
        </w:rPr>
        <w:t>'ın</w:t>
      </w:r>
      <w:proofErr w:type="spellEnd"/>
      <w:r w:rsidRPr="006E683E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4" w:tooltip="Fenomenoloji" w:history="1">
        <w:r w:rsidRPr="006E683E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Fenomenolojisinden</w:t>
        </w:r>
      </w:hyperlink>
      <w:r w:rsidRPr="006E68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hareket eder ancak onu çeşitli dönüşümlere uğratarak değerlendirir. </w:t>
      </w:r>
      <w:proofErr w:type="spellStart"/>
      <w:r w:rsidRPr="006E683E">
        <w:rPr>
          <w:rFonts w:ascii="Times New Roman" w:hAnsi="Times New Roman" w:cs="Times New Roman"/>
          <w:sz w:val="24"/>
          <w:szCs w:val="24"/>
          <w:shd w:val="clear" w:color="auto" w:fill="FFFFFF"/>
        </w:rPr>
        <w:t>Husserl'ın</w:t>
      </w:r>
      <w:proofErr w:type="spellEnd"/>
      <w:r w:rsidRPr="006E68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fenomenolojik yönteminin başlangıç kavramlarından olan “</w:t>
      </w:r>
      <w:proofErr w:type="spellStart"/>
      <w:r w:rsidRPr="006E683E">
        <w:rPr>
          <w:rFonts w:ascii="Times New Roman" w:hAnsi="Times New Roman" w:cs="Times New Roman"/>
          <w:sz w:val="24"/>
          <w:szCs w:val="24"/>
          <w:shd w:val="clear" w:color="auto" w:fill="FFFFFF"/>
        </w:rPr>
        <w:t>yönelimsellik</w:t>
      </w:r>
      <w:proofErr w:type="spellEnd"/>
      <w:r w:rsidRPr="006E68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” kavramının, özellikle </w:t>
      </w:r>
      <w:proofErr w:type="spellStart"/>
      <w:r w:rsidRPr="006E683E">
        <w:rPr>
          <w:rFonts w:ascii="Times New Roman" w:hAnsi="Times New Roman" w:cs="Times New Roman"/>
          <w:sz w:val="24"/>
          <w:szCs w:val="24"/>
          <w:shd w:val="clear" w:color="auto" w:fill="FFFFFF"/>
        </w:rPr>
        <w:t>Merleau-Ponty'de</w:t>
      </w:r>
      <w:proofErr w:type="spellEnd"/>
      <w:r w:rsidRPr="006E68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belirgin biçimde etkili olduğu söylenebilir. </w:t>
      </w:r>
      <w:proofErr w:type="spellStart"/>
      <w:r w:rsidRPr="006E683E">
        <w:rPr>
          <w:rFonts w:ascii="Times New Roman" w:hAnsi="Times New Roman" w:cs="Times New Roman"/>
          <w:sz w:val="24"/>
          <w:szCs w:val="24"/>
          <w:shd w:val="clear" w:color="auto" w:fill="FFFFFF"/>
        </w:rPr>
        <w:t>Merleau-Ponty'de</w:t>
      </w:r>
      <w:proofErr w:type="spellEnd"/>
      <w:r w:rsidRPr="006E683E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E683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kesin bir bilgi aramaktan</w:t>
      </w:r>
      <w:r w:rsidRPr="006E683E">
        <w:rPr>
          <w:rFonts w:ascii="Times New Roman" w:hAnsi="Times New Roman" w:cs="Times New Roman"/>
          <w:sz w:val="24"/>
          <w:szCs w:val="24"/>
          <w:shd w:val="clear" w:color="auto" w:fill="FFFFFF"/>
        </w:rPr>
        <w:t> daha ziyade, asıl olarak algıda belirli bir </w:t>
      </w:r>
      <w:proofErr w:type="spellStart"/>
      <w:r w:rsidRPr="006E683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apaçıklığa</w:t>
      </w:r>
      <w:proofErr w:type="spellEnd"/>
      <w:r w:rsidRPr="006E683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ulaşmak</w:t>
      </w:r>
      <w:r w:rsidRPr="006E68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ister. Bu </w:t>
      </w:r>
      <w:proofErr w:type="spellStart"/>
      <w:r w:rsidRPr="006E683E">
        <w:rPr>
          <w:rFonts w:ascii="Times New Roman" w:hAnsi="Times New Roman" w:cs="Times New Roman"/>
          <w:sz w:val="24"/>
          <w:szCs w:val="24"/>
          <w:shd w:val="clear" w:color="auto" w:fill="FFFFFF"/>
        </w:rPr>
        <w:t>apaçıklık</w:t>
      </w:r>
      <w:proofErr w:type="spellEnd"/>
      <w:r w:rsidRPr="006E68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soyut kuram ve </w:t>
      </w:r>
      <w:proofErr w:type="spellStart"/>
      <w:r w:rsidRPr="006E683E">
        <w:rPr>
          <w:rFonts w:ascii="Times New Roman" w:hAnsi="Times New Roman" w:cs="Times New Roman"/>
          <w:sz w:val="24"/>
          <w:szCs w:val="24"/>
          <w:shd w:val="clear" w:color="auto" w:fill="FFFFFF"/>
        </w:rPr>
        <w:t>formülasyonlarda</w:t>
      </w:r>
      <w:proofErr w:type="spellEnd"/>
      <w:r w:rsidRPr="006E68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değil, deneyimlerimizde, yani "düşünen </w:t>
      </w:r>
      <w:proofErr w:type="spellStart"/>
      <w:r w:rsidRPr="006E683E">
        <w:rPr>
          <w:rFonts w:ascii="Times New Roman" w:hAnsi="Times New Roman" w:cs="Times New Roman"/>
          <w:sz w:val="24"/>
          <w:szCs w:val="24"/>
          <w:shd w:val="clear" w:color="auto" w:fill="FFFFFF"/>
        </w:rPr>
        <w:t>Ben"in</w:t>
      </w:r>
      <w:proofErr w:type="spellEnd"/>
      <w:r w:rsidRPr="006E68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deneyimlerinde ya da yaşantılarında ortaya çıkar. </w:t>
      </w:r>
    </w:p>
    <w:p w:rsidR="00186368" w:rsidRPr="006E683E" w:rsidRDefault="00186368" w:rsidP="006E683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68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</w:t>
      </w:r>
      <w:r w:rsidRPr="006E68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Bu amaçla,  </w:t>
      </w:r>
      <w:proofErr w:type="spellStart"/>
      <w:r w:rsidRPr="006E683E">
        <w:rPr>
          <w:rFonts w:ascii="Times New Roman" w:hAnsi="Times New Roman" w:cs="Times New Roman"/>
          <w:sz w:val="24"/>
          <w:szCs w:val="24"/>
          <w:shd w:val="clear" w:color="auto" w:fill="FFFFFF"/>
        </w:rPr>
        <w:t>Merleau-Ponty</w:t>
      </w:r>
      <w:proofErr w:type="spellEnd"/>
      <w:r w:rsidRPr="006E68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6E683E">
        <w:rPr>
          <w:rFonts w:ascii="Times New Roman" w:hAnsi="Times New Roman" w:cs="Times New Roman"/>
          <w:sz w:val="24"/>
          <w:szCs w:val="24"/>
          <w:shd w:val="clear" w:color="auto" w:fill="FFFFFF"/>
        </w:rPr>
        <w:t>Husserl'in</w:t>
      </w:r>
      <w:proofErr w:type="spellEnd"/>
      <w:r w:rsidRPr="006E68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bilincin </w:t>
      </w:r>
      <w:r w:rsidRPr="006E683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varlıklara </w:t>
      </w:r>
      <w:proofErr w:type="spellStart"/>
      <w:r w:rsidRPr="006E683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yönelmişlik</w:t>
      </w:r>
      <w:proofErr w:type="spellEnd"/>
      <w:r w:rsidRPr="006E683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deneyiminden ya da yaşantısından </w:t>
      </w:r>
      <w:r w:rsidRPr="006E683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hareketle insanın duyusal ve bedensel olarak dünyayla ilişkisini betimlemek ister. </w:t>
      </w:r>
      <w:proofErr w:type="spellStart"/>
      <w:r w:rsidRPr="006E683E">
        <w:rPr>
          <w:rFonts w:ascii="Times New Roman" w:hAnsi="Times New Roman" w:cs="Times New Roman"/>
          <w:sz w:val="24"/>
          <w:szCs w:val="24"/>
          <w:shd w:val="clear" w:color="auto" w:fill="FFFFFF"/>
        </w:rPr>
        <w:t>Merleau-Ponty</w:t>
      </w:r>
      <w:proofErr w:type="spellEnd"/>
      <w:r w:rsidRPr="006E68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için </w:t>
      </w:r>
      <w:hyperlink r:id="rId5" w:tooltip="İnsan" w:history="1">
        <w:r w:rsidRPr="006E683E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insan</w:t>
        </w:r>
      </w:hyperlink>
      <w:r w:rsidRPr="006E683E">
        <w:rPr>
          <w:rFonts w:ascii="Times New Roman" w:hAnsi="Times New Roman" w:cs="Times New Roman"/>
          <w:sz w:val="24"/>
          <w:szCs w:val="24"/>
          <w:shd w:val="clear" w:color="auto" w:fill="FFFFFF"/>
        </w:rPr>
        <w:t> demek, "dünyayı kendi gözleriyle gören bir varlık" demektir. İnsan, dünya içinde yaşayan ve dünyayı bedenselliği ve algıları üzerinden kendi gözleriyle gören ve anlayan bir varlık.</w:t>
      </w:r>
    </w:p>
    <w:p w:rsidR="00186368" w:rsidRPr="006E683E" w:rsidRDefault="00186368" w:rsidP="006E683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68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    </w:t>
      </w:r>
      <w:proofErr w:type="spellStart"/>
      <w:r w:rsidRPr="006E683E">
        <w:rPr>
          <w:rFonts w:ascii="Times New Roman" w:hAnsi="Times New Roman" w:cs="Times New Roman"/>
          <w:sz w:val="24"/>
          <w:szCs w:val="24"/>
          <w:shd w:val="clear" w:color="auto" w:fill="FFFFFF"/>
        </w:rPr>
        <w:t>Merleau-Ponty'nin</w:t>
      </w:r>
      <w:proofErr w:type="spellEnd"/>
      <w:r w:rsidRPr="006E68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bu </w:t>
      </w:r>
      <w:proofErr w:type="spellStart"/>
      <w:r w:rsidRPr="006E683E">
        <w:rPr>
          <w:rFonts w:ascii="Times New Roman" w:hAnsi="Times New Roman" w:cs="Times New Roman"/>
          <w:sz w:val="24"/>
          <w:szCs w:val="24"/>
          <w:shd w:val="clear" w:color="auto" w:fill="FFFFFF"/>
        </w:rPr>
        <w:t>yönelimsellik</w:t>
      </w:r>
      <w:proofErr w:type="spellEnd"/>
      <w:r w:rsidRPr="006E68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kavramını kullanmasının ardında izini sürdüğü felsefi problematik, yani bir anlamda onun düşünsel etkinliğinin ana teması, Sartre ve diğer Varoluşçularda da görülen, </w:t>
      </w:r>
      <w:proofErr w:type="spellStart"/>
      <w:r w:rsidRPr="006E683E"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fldChar w:fldCharType="begin"/>
      </w:r>
      <w:r w:rsidRPr="006E683E"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instrText xml:space="preserve"> HYPERLINK "https://tr.wikipedia.org/w/index.php?title=Deskartes&amp;action=edit&amp;redlink=1" \o "Deskartes (sayfa mevcut değil)" </w:instrText>
      </w:r>
      <w:r w:rsidRPr="006E683E"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fldChar w:fldCharType="separate"/>
      </w:r>
      <w:r w:rsidRPr="006E683E"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Descartes</w:t>
      </w:r>
      <w:r w:rsidRPr="006E683E"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fldChar w:fldCharType="end"/>
      </w:r>
      <w:r w:rsidRPr="006E683E">
        <w:rPr>
          <w:rFonts w:ascii="Times New Roman" w:hAnsi="Times New Roman" w:cs="Times New Roman"/>
          <w:sz w:val="24"/>
          <w:szCs w:val="24"/>
          <w:shd w:val="clear" w:color="auto" w:fill="FFFFFF"/>
        </w:rPr>
        <w:t>çı</w:t>
      </w:r>
      <w:proofErr w:type="spellEnd"/>
      <w:r w:rsidRPr="006E68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felsefenin doğal ögeleri olan </w:t>
      </w:r>
      <w:hyperlink r:id="rId6" w:tooltip="Özne-nesne ikiliği (sayfa mevcut değil)" w:history="1">
        <w:r w:rsidRPr="006E683E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Özne-nesne ikiliğidir</w:t>
        </w:r>
      </w:hyperlink>
      <w:r w:rsidRPr="006E68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Tam bu noktada, </w:t>
      </w:r>
      <w:proofErr w:type="spellStart"/>
      <w:r w:rsidRPr="006E683E">
        <w:rPr>
          <w:rFonts w:ascii="Times New Roman" w:hAnsi="Times New Roman" w:cs="Times New Roman"/>
          <w:sz w:val="24"/>
          <w:szCs w:val="24"/>
          <w:shd w:val="clear" w:color="auto" w:fill="FFFFFF"/>
        </w:rPr>
        <w:t>Merleau-Ponty'nin</w:t>
      </w:r>
      <w:proofErr w:type="spellEnd"/>
      <w:r w:rsidRPr="006E68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temel kavramlarından olan </w:t>
      </w:r>
      <w:hyperlink r:id="rId7" w:tooltip="Beden" w:history="1">
        <w:r w:rsidRPr="006E683E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Beden</w:t>
        </w:r>
      </w:hyperlink>
      <w:r w:rsidRPr="006E683E"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ya da Ten</w:t>
      </w:r>
      <w:r w:rsidRPr="006E68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kavramı devreye girer. Beden, burada salt bir biyolojik konu olmaktan çıkarılıp felsefi tartışmanın merkezine yerleştirilir. Başkasının varlığı, düşünceyi mümkün kılan fakat nesnel düşünceyi zora sokan bir öğedir. </w:t>
      </w:r>
      <w:proofErr w:type="spellStart"/>
      <w:r w:rsidRPr="006E683E">
        <w:rPr>
          <w:rFonts w:ascii="Times New Roman" w:hAnsi="Times New Roman" w:cs="Times New Roman"/>
          <w:sz w:val="24"/>
          <w:szCs w:val="24"/>
          <w:shd w:val="clear" w:color="auto" w:fill="FFFFFF"/>
        </w:rPr>
        <w:t>Merleau-Ponty</w:t>
      </w:r>
      <w:proofErr w:type="spellEnd"/>
      <w:r w:rsidRPr="006E68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bu zorluğu, Beden ve </w:t>
      </w:r>
      <w:hyperlink r:id="rId8" w:tooltip="Ten" w:history="1">
        <w:r w:rsidRPr="006E683E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Ten</w:t>
        </w:r>
      </w:hyperlink>
      <w:r w:rsidRPr="006E683E">
        <w:rPr>
          <w:rFonts w:ascii="Times New Roman" w:hAnsi="Times New Roman" w:cs="Times New Roman"/>
          <w:sz w:val="24"/>
          <w:szCs w:val="24"/>
          <w:shd w:val="clear" w:color="auto" w:fill="FFFFFF"/>
        </w:rPr>
        <w:t> gibi algıyla, duyumla, deneyimle bağlantılı kavramları felsefi alana taşıyarak aşmaya çalışır. Felsefi düşüncede bütün her şeyin karşısında </w:t>
      </w:r>
      <w:hyperlink r:id="rId9" w:tooltip="Algı" w:history="1">
        <w:r w:rsidRPr="006E683E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algıya</w:t>
        </w:r>
      </w:hyperlink>
      <w:r w:rsidRPr="006E68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verilen öncelikli rolün sonucu olarak </w:t>
      </w:r>
      <w:proofErr w:type="spellStart"/>
      <w:r w:rsidRPr="006E683E">
        <w:rPr>
          <w:rFonts w:ascii="Times New Roman" w:hAnsi="Times New Roman" w:cs="Times New Roman"/>
          <w:sz w:val="24"/>
          <w:szCs w:val="24"/>
          <w:shd w:val="clear" w:color="auto" w:fill="FFFFFF"/>
        </w:rPr>
        <w:t>Merleau-Ponty</w:t>
      </w:r>
      <w:proofErr w:type="spellEnd"/>
      <w:r w:rsidRPr="006E683E">
        <w:rPr>
          <w:rFonts w:ascii="Times New Roman" w:hAnsi="Times New Roman" w:cs="Times New Roman"/>
          <w:sz w:val="24"/>
          <w:szCs w:val="24"/>
          <w:shd w:val="clear" w:color="auto" w:fill="FFFFFF"/>
        </w:rPr>
        <w:t>, bedeni ve duyumsallığı değerlendirir; </w:t>
      </w:r>
      <w:r w:rsidRPr="006E683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Beden</w:t>
      </w:r>
      <w:r w:rsidRPr="006E683E">
        <w:rPr>
          <w:rFonts w:ascii="Times New Roman" w:hAnsi="Times New Roman" w:cs="Times New Roman"/>
          <w:sz w:val="24"/>
          <w:szCs w:val="24"/>
          <w:shd w:val="clear" w:color="auto" w:fill="FFFFFF"/>
        </w:rPr>
        <w:t> kavramı üzerinden özne-nesne ikiliğini yeniden değerlendirmeye sokar.</w:t>
      </w:r>
    </w:p>
    <w:p w:rsidR="00186368" w:rsidRPr="006E683E" w:rsidRDefault="00186368" w:rsidP="006E683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86368" w:rsidRPr="006E68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368"/>
    <w:rsid w:val="00186368"/>
    <w:rsid w:val="00550274"/>
    <w:rsid w:val="006E683E"/>
    <w:rsid w:val="00FD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F65BF3-7186-4651-9EEA-1641501DA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1863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.wikipedia.org/wiki/Te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r.wikipedia.org/wiki/Bede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r.wikipedia.org/w/index.php?title=%C3%96zne-nesne_ikili%C4%9Fi&amp;action=edit&amp;redlink=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tr.wikipedia.org/wiki/%C4%B0nsan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tr.wikipedia.org/wiki/Fenomenoloji" TargetMode="External"/><Relationship Id="rId9" Type="http://schemas.openxmlformats.org/officeDocument/2006/relationships/hyperlink" Target="https://tr.wikipedia.org/wiki/Alg%C4%B1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401</Words>
  <Characters>2290</Characters>
  <Application>Microsoft Office Word</Application>
  <DocSecurity>0</DocSecurity>
  <Lines>19</Lines>
  <Paragraphs>5</Paragraphs>
  <ScaleCrop>false</ScaleCrop>
  <Company/>
  <LinksUpToDate>false</LinksUpToDate>
  <CharactersWithSpaces>2686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Seyit</dc:creator>
  <cp:keywords/>
  <dc:description/>
  <cp:lastModifiedBy>Seyit</cp:lastModifiedBy>
  <cp:revision>3</cp:revision>
  <dcterms:created xsi:type="dcterms:W3CDTF">2020-06-10T16:40:00Z</dcterms:created>
  <dcterms:modified xsi:type="dcterms:W3CDTF">2020-06-10T16:44:00Z</dcterms:modified>
</cp:coreProperties>
</file>