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274" w:rsidRPr="00647E85" w:rsidRDefault="00647E85" w:rsidP="00647E85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47E85">
        <w:rPr>
          <w:rFonts w:ascii="Times New Roman" w:hAnsi="Times New Roman" w:cs="Times New Roman"/>
          <w:b/>
          <w:sz w:val="24"/>
          <w:szCs w:val="24"/>
        </w:rPr>
        <w:t>Genel Değerlendirme</w:t>
      </w:r>
      <w:bookmarkStart w:id="0" w:name="_GoBack"/>
      <w:bookmarkEnd w:id="0"/>
      <w:r w:rsidRPr="00647E8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47E85" w:rsidRPr="00647E85" w:rsidRDefault="00647E85" w:rsidP="00647E8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7E85" w:rsidRPr="00647E85" w:rsidRDefault="00647E85" w:rsidP="00647E8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7E85">
        <w:rPr>
          <w:rFonts w:ascii="Times New Roman" w:hAnsi="Times New Roman" w:cs="Times New Roman"/>
          <w:sz w:val="24"/>
          <w:szCs w:val="24"/>
        </w:rPr>
        <w:t xml:space="preserve">     </w:t>
      </w:r>
      <w:r w:rsidRPr="00647E85">
        <w:rPr>
          <w:rFonts w:ascii="Times New Roman" w:hAnsi="Times New Roman" w:cs="Times New Roman"/>
          <w:sz w:val="24"/>
          <w:szCs w:val="24"/>
        </w:rPr>
        <w:t xml:space="preserve">Yaşam felsefesi ve Pragmatizm gibi 20. yüzyıl felsefesi büyük bir bölümü Kant’a sırt çevirmeyle doludur. En verimli çağı yüzyılın ilk yarısını kapsayan fenomenoloji de öyledir. Kant’tan uzaklaşma </w:t>
      </w:r>
      <w:proofErr w:type="spellStart"/>
      <w:r w:rsidRPr="00647E85">
        <w:rPr>
          <w:rFonts w:ascii="Times New Roman" w:hAnsi="Times New Roman" w:cs="Times New Roman"/>
          <w:sz w:val="24"/>
          <w:szCs w:val="24"/>
        </w:rPr>
        <w:t>Skolastikçiler</w:t>
      </w:r>
      <w:proofErr w:type="spellEnd"/>
      <w:r w:rsidRPr="00647E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47E85">
        <w:rPr>
          <w:rFonts w:ascii="Times New Roman" w:hAnsi="Times New Roman" w:cs="Times New Roman"/>
          <w:sz w:val="24"/>
          <w:szCs w:val="24"/>
        </w:rPr>
        <w:t>Spinoza</w:t>
      </w:r>
      <w:proofErr w:type="spellEnd"/>
      <w:r w:rsidRPr="00647E85">
        <w:rPr>
          <w:rFonts w:ascii="Times New Roman" w:hAnsi="Times New Roman" w:cs="Times New Roman"/>
          <w:sz w:val="24"/>
          <w:szCs w:val="24"/>
        </w:rPr>
        <w:t xml:space="preserve"> ve </w:t>
      </w:r>
      <w:proofErr w:type="spellStart"/>
      <w:r w:rsidRPr="00647E85">
        <w:rPr>
          <w:rFonts w:ascii="Times New Roman" w:hAnsi="Times New Roman" w:cs="Times New Roman"/>
          <w:sz w:val="24"/>
          <w:szCs w:val="24"/>
        </w:rPr>
        <w:t>Leibniz</w:t>
      </w:r>
      <w:proofErr w:type="spellEnd"/>
      <w:r w:rsidRPr="00647E85">
        <w:rPr>
          <w:rFonts w:ascii="Times New Roman" w:hAnsi="Times New Roman" w:cs="Times New Roman"/>
          <w:sz w:val="24"/>
          <w:szCs w:val="24"/>
        </w:rPr>
        <w:t xml:space="preserve"> gibi Kant öncesi felsefecilere başvurulmasıyla da kendini gösterir. Fenomenolojinin kurucusu </w:t>
      </w:r>
      <w:proofErr w:type="spellStart"/>
      <w:r w:rsidRPr="00647E85">
        <w:rPr>
          <w:rFonts w:ascii="Times New Roman" w:hAnsi="Times New Roman" w:cs="Times New Roman"/>
          <w:sz w:val="24"/>
          <w:szCs w:val="24"/>
        </w:rPr>
        <w:t>Husserl</w:t>
      </w:r>
      <w:proofErr w:type="spellEnd"/>
      <w:r w:rsidRPr="00647E85">
        <w:rPr>
          <w:rFonts w:ascii="Times New Roman" w:hAnsi="Times New Roman" w:cs="Times New Roman"/>
          <w:sz w:val="24"/>
          <w:szCs w:val="24"/>
        </w:rPr>
        <w:t>, gerçi Yeni-</w:t>
      </w:r>
      <w:proofErr w:type="spellStart"/>
      <w:r w:rsidRPr="00647E85">
        <w:rPr>
          <w:rFonts w:ascii="Times New Roman" w:hAnsi="Times New Roman" w:cs="Times New Roman"/>
          <w:sz w:val="24"/>
          <w:szCs w:val="24"/>
        </w:rPr>
        <w:t>Kantçılık</w:t>
      </w:r>
      <w:proofErr w:type="spellEnd"/>
      <w:r w:rsidRPr="00647E85">
        <w:rPr>
          <w:rFonts w:ascii="Times New Roman" w:hAnsi="Times New Roman" w:cs="Times New Roman"/>
          <w:sz w:val="24"/>
          <w:szCs w:val="24"/>
        </w:rPr>
        <w:t xml:space="preserve"> ile ilişkisine rağmen önce Katolik rahip olup, kiliseye yüz çevirdikten sonra Skolastik akıma ve öğretmeni Aristoteles’e sadık kalan Franz </w:t>
      </w:r>
      <w:proofErr w:type="spellStart"/>
      <w:r w:rsidRPr="00647E85">
        <w:rPr>
          <w:rFonts w:ascii="Times New Roman" w:hAnsi="Times New Roman" w:cs="Times New Roman"/>
          <w:sz w:val="24"/>
          <w:szCs w:val="24"/>
        </w:rPr>
        <w:t>Brentano</w:t>
      </w:r>
      <w:proofErr w:type="spellEnd"/>
      <w:r w:rsidRPr="00647E85">
        <w:rPr>
          <w:rFonts w:ascii="Times New Roman" w:hAnsi="Times New Roman" w:cs="Times New Roman"/>
          <w:sz w:val="24"/>
          <w:szCs w:val="24"/>
        </w:rPr>
        <w:t xml:space="preserve"> (1838-1917) gibi kendisine yön veren bir öğretmene sahipti. </w:t>
      </w:r>
    </w:p>
    <w:p w:rsidR="00647E85" w:rsidRPr="00647E85" w:rsidRDefault="00647E85" w:rsidP="00647E8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7E85">
        <w:rPr>
          <w:rFonts w:ascii="Times New Roman" w:hAnsi="Times New Roman" w:cs="Times New Roman"/>
          <w:sz w:val="24"/>
          <w:szCs w:val="24"/>
        </w:rPr>
        <w:t xml:space="preserve">             </w:t>
      </w:r>
      <w:proofErr w:type="spellStart"/>
      <w:r w:rsidRPr="00647E85">
        <w:rPr>
          <w:rFonts w:ascii="Times New Roman" w:hAnsi="Times New Roman" w:cs="Times New Roman"/>
          <w:sz w:val="24"/>
          <w:szCs w:val="24"/>
        </w:rPr>
        <w:t>Husserl</w:t>
      </w:r>
      <w:proofErr w:type="spellEnd"/>
      <w:r w:rsidRPr="00647E85">
        <w:rPr>
          <w:rFonts w:ascii="Times New Roman" w:hAnsi="Times New Roman" w:cs="Times New Roman"/>
          <w:sz w:val="24"/>
          <w:szCs w:val="24"/>
        </w:rPr>
        <w:t>, özellikle “</w:t>
      </w:r>
      <w:proofErr w:type="spellStart"/>
      <w:r w:rsidRPr="00647E85">
        <w:rPr>
          <w:rFonts w:ascii="Times New Roman" w:hAnsi="Times New Roman" w:cs="Times New Roman"/>
          <w:sz w:val="24"/>
          <w:szCs w:val="24"/>
        </w:rPr>
        <w:t>yönelimsellik</w:t>
      </w:r>
      <w:proofErr w:type="spellEnd"/>
      <w:r w:rsidRPr="00647E85">
        <w:rPr>
          <w:rFonts w:ascii="Times New Roman" w:hAnsi="Times New Roman" w:cs="Times New Roman"/>
          <w:sz w:val="24"/>
          <w:szCs w:val="24"/>
        </w:rPr>
        <w:t>” (</w:t>
      </w:r>
      <w:proofErr w:type="spellStart"/>
      <w:r w:rsidRPr="00647E85">
        <w:rPr>
          <w:rFonts w:ascii="Times New Roman" w:hAnsi="Times New Roman" w:cs="Times New Roman"/>
          <w:sz w:val="24"/>
          <w:szCs w:val="24"/>
        </w:rPr>
        <w:t>intensiyonalität</w:t>
      </w:r>
      <w:proofErr w:type="spellEnd"/>
      <w:r w:rsidRPr="00647E85">
        <w:rPr>
          <w:rFonts w:ascii="Times New Roman" w:hAnsi="Times New Roman" w:cs="Times New Roman"/>
          <w:sz w:val="24"/>
          <w:szCs w:val="24"/>
        </w:rPr>
        <w:t xml:space="preserve">) kavramını </w:t>
      </w:r>
      <w:proofErr w:type="spellStart"/>
      <w:r w:rsidRPr="00647E85">
        <w:rPr>
          <w:rFonts w:ascii="Times New Roman" w:hAnsi="Times New Roman" w:cs="Times New Roman"/>
          <w:sz w:val="24"/>
          <w:szCs w:val="24"/>
        </w:rPr>
        <w:t>Brentano’dan</w:t>
      </w:r>
      <w:proofErr w:type="spellEnd"/>
      <w:r w:rsidRPr="00647E85">
        <w:rPr>
          <w:rFonts w:ascii="Times New Roman" w:hAnsi="Times New Roman" w:cs="Times New Roman"/>
          <w:sz w:val="24"/>
          <w:szCs w:val="24"/>
        </w:rPr>
        <w:t xml:space="preserve"> almıştır. </w:t>
      </w:r>
      <w:proofErr w:type="spellStart"/>
      <w:r w:rsidRPr="00647E85">
        <w:rPr>
          <w:rFonts w:ascii="Times New Roman" w:hAnsi="Times New Roman" w:cs="Times New Roman"/>
          <w:sz w:val="24"/>
          <w:szCs w:val="24"/>
        </w:rPr>
        <w:t>Brentano</w:t>
      </w:r>
      <w:proofErr w:type="spellEnd"/>
      <w:r w:rsidRPr="00647E85">
        <w:rPr>
          <w:rFonts w:ascii="Times New Roman" w:hAnsi="Times New Roman" w:cs="Times New Roman"/>
          <w:sz w:val="24"/>
          <w:szCs w:val="24"/>
        </w:rPr>
        <w:t xml:space="preserve">, kendisini temel alan birçok düşünürün çalışmaları sayesinde 19. yüzyılın en etkili felsefecilerinden biri haline geldi. </w:t>
      </w:r>
      <w:proofErr w:type="spellStart"/>
      <w:r w:rsidRPr="00647E85">
        <w:rPr>
          <w:rFonts w:ascii="Times New Roman" w:hAnsi="Times New Roman" w:cs="Times New Roman"/>
          <w:sz w:val="24"/>
          <w:szCs w:val="24"/>
        </w:rPr>
        <w:t>Brentano’yu</w:t>
      </w:r>
      <w:proofErr w:type="spellEnd"/>
      <w:r w:rsidRPr="00647E85">
        <w:rPr>
          <w:rFonts w:ascii="Times New Roman" w:hAnsi="Times New Roman" w:cs="Times New Roman"/>
          <w:sz w:val="24"/>
          <w:szCs w:val="24"/>
        </w:rPr>
        <w:t xml:space="preserve"> sadece fenomenolojiyi Varoluşçuluğun temeli sayılan </w:t>
      </w:r>
      <w:proofErr w:type="spellStart"/>
      <w:r w:rsidRPr="00647E85">
        <w:rPr>
          <w:rFonts w:ascii="Times New Roman" w:hAnsi="Times New Roman" w:cs="Times New Roman"/>
          <w:sz w:val="24"/>
          <w:szCs w:val="24"/>
        </w:rPr>
        <w:t>Husserl</w:t>
      </w:r>
      <w:proofErr w:type="spellEnd"/>
      <w:r w:rsidRPr="00647E85">
        <w:rPr>
          <w:rFonts w:ascii="Times New Roman" w:hAnsi="Times New Roman" w:cs="Times New Roman"/>
          <w:sz w:val="24"/>
          <w:szCs w:val="24"/>
        </w:rPr>
        <w:t xml:space="preserve"> değil, </w:t>
      </w:r>
      <w:proofErr w:type="spellStart"/>
      <w:r w:rsidRPr="00647E85">
        <w:rPr>
          <w:rFonts w:ascii="Times New Roman" w:hAnsi="Times New Roman" w:cs="Times New Roman"/>
          <w:sz w:val="24"/>
          <w:szCs w:val="24"/>
        </w:rPr>
        <w:t>Alexius</w:t>
      </w:r>
      <w:proofErr w:type="spellEnd"/>
      <w:r w:rsidRPr="00647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7E85">
        <w:rPr>
          <w:rFonts w:ascii="Times New Roman" w:hAnsi="Times New Roman" w:cs="Times New Roman"/>
          <w:sz w:val="24"/>
          <w:szCs w:val="24"/>
        </w:rPr>
        <w:t>Meinong’un</w:t>
      </w:r>
      <w:proofErr w:type="spellEnd"/>
      <w:r w:rsidRPr="00647E85">
        <w:rPr>
          <w:rFonts w:ascii="Times New Roman" w:hAnsi="Times New Roman" w:cs="Times New Roman"/>
          <w:sz w:val="24"/>
          <w:szCs w:val="24"/>
        </w:rPr>
        <w:t xml:space="preserve"> (1853-1921)  “nesne </w:t>
      </w:r>
      <w:proofErr w:type="spellStart"/>
      <w:r w:rsidRPr="00647E85">
        <w:rPr>
          <w:rFonts w:ascii="Times New Roman" w:hAnsi="Times New Roman" w:cs="Times New Roman"/>
          <w:sz w:val="24"/>
          <w:szCs w:val="24"/>
        </w:rPr>
        <w:t>kuramı”nda</w:t>
      </w:r>
      <w:proofErr w:type="spellEnd"/>
      <w:r w:rsidRPr="00647E85">
        <w:rPr>
          <w:rFonts w:ascii="Times New Roman" w:hAnsi="Times New Roman" w:cs="Times New Roman"/>
          <w:sz w:val="24"/>
          <w:szCs w:val="24"/>
        </w:rPr>
        <w:t xml:space="preserve"> fenomenolojiyi çıkış notası olarak alır. </w:t>
      </w:r>
    </w:p>
    <w:p w:rsidR="00647E85" w:rsidRPr="00647E85" w:rsidRDefault="00647E85" w:rsidP="00647E8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7E85"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 w:rsidRPr="00647E85">
        <w:rPr>
          <w:rFonts w:ascii="Times New Roman" w:hAnsi="Times New Roman" w:cs="Times New Roman"/>
          <w:sz w:val="24"/>
          <w:szCs w:val="24"/>
        </w:rPr>
        <w:t>Husserl’in</w:t>
      </w:r>
      <w:proofErr w:type="spellEnd"/>
      <w:r w:rsidRPr="00647E85">
        <w:rPr>
          <w:rFonts w:ascii="Times New Roman" w:hAnsi="Times New Roman" w:cs="Times New Roman"/>
          <w:sz w:val="24"/>
          <w:szCs w:val="24"/>
        </w:rPr>
        <w:t xml:space="preserve"> fenomenolojik yönteminin izlerini, onun düşüncesinden etkilenen </w:t>
      </w:r>
      <w:proofErr w:type="spellStart"/>
      <w:r w:rsidRPr="00647E85">
        <w:rPr>
          <w:rFonts w:ascii="Times New Roman" w:hAnsi="Times New Roman" w:cs="Times New Roman"/>
          <w:sz w:val="24"/>
          <w:szCs w:val="24"/>
        </w:rPr>
        <w:t>Heidegger’de</w:t>
      </w:r>
      <w:proofErr w:type="spellEnd"/>
      <w:r w:rsidRPr="00647E85">
        <w:rPr>
          <w:rFonts w:ascii="Times New Roman" w:hAnsi="Times New Roman" w:cs="Times New Roman"/>
          <w:sz w:val="24"/>
          <w:szCs w:val="24"/>
        </w:rPr>
        <w:t xml:space="preserve"> fenomenolojik-</w:t>
      </w:r>
      <w:proofErr w:type="spellStart"/>
      <w:r w:rsidRPr="00647E85">
        <w:rPr>
          <w:rFonts w:ascii="Times New Roman" w:hAnsi="Times New Roman" w:cs="Times New Roman"/>
          <w:sz w:val="24"/>
          <w:szCs w:val="24"/>
        </w:rPr>
        <w:t>hermeneutik</w:t>
      </w:r>
      <w:proofErr w:type="spellEnd"/>
      <w:r w:rsidRPr="00647E85">
        <w:rPr>
          <w:rFonts w:ascii="Times New Roman" w:hAnsi="Times New Roman" w:cs="Times New Roman"/>
          <w:sz w:val="24"/>
          <w:szCs w:val="24"/>
        </w:rPr>
        <w:t xml:space="preserve"> yöntem biçiminde insan varoluşunun (</w:t>
      </w:r>
      <w:proofErr w:type="spellStart"/>
      <w:r w:rsidRPr="00647E85">
        <w:rPr>
          <w:rFonts w:ascii="Times New Roman" w:hAnsi="Times New Roman" w:cs="Times New Roman"/>
          <w:sz w:val="24"/>
          <w:szCs w:val="24"/>
        </w:rPr>
        <w:t>Dasein</w:t>
      </w:r>
      <w:proofErr w:type="spellEnd"/>
      <w:r w:rsidRPr="00647E85">
        <w:rPr>
          <w:rFonts w:ascii="Times New Roman" w:hAnsi="Times New Roman" w:cs="Times New Roman"/>
          <w:sz w:val="24"/>
          <w:szCs w:val="24"/>
        </w:rPr>
        <w:t xml:space="preserve">) anlamını betimleme olarak görüyoruz.   Diğer yandan, </w:t>
      </w:r>
      <w:proofErr w:type="spellStart"/>
      <w:r w:rsidRPr="00647E85">
        <w:rPr>
          <w:rFonts w:ascii="Times New Roman" w:hAnsi="Times New Roman" w:cs="Times New Roman"/>
          <w:sz w:val="24"/>
          <w:szCs w:val="24"/>
        </w:rPr>
        <w:t>Heidegger’in</w:t>
      </w:r>
      <w:proofErr w:type="spellEnd"/>
      <w:r w:rsidRPr="00647E85">
        <w:rPr>
          <w:rFonts w:ascii="Times New Roman" w:hAnsi="Times New Roman" w:cs="Times New Roman"/>
          <w:sz w:val="24"/>
          <w:szCs w:val="24"/>
        </w:rPr>
        <w:t xml:space="preserve"> düşüncelerinden etkilenen Sartre, fenomenolojik-diyalektik yöntem çerçevesinde kendi düşüncelerini </w:t>
      </w:r>
      <w:proofErr w:type="spellStart"/>
      <w:r w:rsidRPr="00647E85">
        <w:rPr>
          <w:rFonts w:ascii="Times New Roman" w:hAnsi="Times New Roman" w:cs="Times New Roman"/>
          <w:sz w:val="24"/>
          <w:szCs w:val="24"/>
        </w:rPr>
        <w:t>serimlemeye</w:t>
      </w:r>
      <w:proofErr w:type="spellEnd"/>
      <w:r w:rsidRPr="00647E85">
        <w:rPr>
          <w:rFonts w:ascii="Times New Roman" w:hAnsi="Times New Roman" w:cs="Times New Roman"/>
          <w:sz w:val="24"/>
          <w:szCs w:val="24"/>
        </w:rPr>
        <w:t xml:space="preserve"> çalışır. Aynı şekilde hem </w:t>
      </w:r>
      <w:proofErr w:type="spellStart"/>
      <w:r w:rsidRPr="00647E85">
        <w:rPr>
          <w:rFonts w:ascii="Times New Roman" w:hAnsi="Times New Roman" w:cs="Times New Roman"/>
          <w:sz w:val="24"/>
          <w:szCs w:val="24"/>
        </w:rPr>
        <w:t>Husserl</w:t>
      </w:r>
      <w:proofErr w:type="spellEnd"/>
      <w:r w:rsidRPr="00647E85">
        <w:rPr>
          <w:rFonts w:ascii="Times New Roman" w:hAnsi="Times New Roman" w:cs="Times New Roman"/>
          <w:sz w:val="24"/>
          <w:szCs w:val="24"/>
        </w:rPr>
        <w:t xml:space="preserve"> hem de Sartre’dan etkilenen </w:t>
      </w:r>
      <w:proofErr w:type="spellStart"/>
      <w:r w:rsidRPr="00647E85">
        <w:rPr>
          <w:rFonts w:ascii="Times New Roman" w:hAnsi="Times New Roman" w:cs="Times New Roman"/>
          <w:sz w:val="24"/>
          <w:szCs w:val="24"/>
        </w:rPr>
        <w:t>Merleau-Ponty</w:t>
      </w:r>
      <w:proofErr w:type="spellEnd"/>
      <w:r w:rsidRPr="00647E85">
        <w:rPr>
          <w:rFonts w:ascii="Times New Roman" w:hAnsi="Times New Roman" w:cs="Times New Roman"/>
          <w:sz w:val="24"/>
          <w:szCs w:val="24"/>
        </w:rPr>
        <w:t>, düşüncelerini ortaya koymada fenomenolojik-</w:t>
      </w:r>
      <w:proofErr w:type="spellStart"/>
      <w:r w:rsidRPr="00647E85">
        <w:rPr>
          <w:rFonts w:ascii="Times New Roman" w:hAnsi="Times New Roman" w:cs="Times New Roman"/>
          <w:sz w:val="24"/>
          <w:szCs w:val="24"/>
        </w:rPr>
        <w:t>betimsel</w:t>
      </w:r>
      <w:proofErr w:type="spellEnd"/>
      <w:r w:rsidRPr="00647E85">
        <w:rPr>
          <w:rFonts w:ascii="Times New Roman" w:hAnsi="Times New Roman" w:cs="Times New Roman"/>
          <w:sz w:val="24"/>
          <w:szCs w:val="24"/>
        </w:rPr>
        <w:t xml:space="preserve"> yöntemden yararlanır.   </w:t>
      </w:r>
    </w:p>
    <w:sectPr w:rsidR="00647E85" w:rsidRPr="00647E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E85"/>
    <w:rsid w:val="00550274"/>
    <w:rsid w:val="00647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3907E0-08D3-4D2B-8E23-A23C5B6F3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221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Seyit</dc:creator>
  <cp:keywords/>
  <dc:description/>
  <cp:lastModifiedBy>Seyit</cp:lastModifiedBy>
  <cp:revision>1</cp:revision>
  <dcterms:created xsi:type="dcterms:W3CDTF">2020-06-10T16:47:00Z</dcterms:created>
  <dcterms:modified xsi:type="dcterms:W3CDTF">2020-06-10T16:57:00Z</dcterms:modified>
</cp:coreProperties>
</file>