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8A" w:rsidRPr="00DF7F10" w:rsidRDefault="00985F8A" w:rsidP="00985F8A">
      <w:pPr>
        <w:rPr>
          <w:rFonts w:cs="Times New Roman (CS Gövde)"/>
          <w:b/>
          <w:spacing w:val="180"/>
          <w:position w:val="-6"/>
          <w:sz w:val="32"/>
        </w:rPr>
      </w:pPr>
      <w:r w:rsidRPr="00DF7F10">
        <w:rPr>
          <w:rFonts w:cs="Times New Roman (CS Gövde)"/>
          <w:b/>
          <w:spacing w:val="180"/>
          <w:position w:val="-6"/>
          <w:sz w:val="32"/>
        </w:rPr>
        <w:t>KAYNAKLAR</w:t>
      </w:r>
    </w:p>
    <w:p w:rsidR="00985F8A" w:rsidRDefault="00985F8A" w:rsidP="00985F8A"/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Armstrong, H. 1999. Design studios as research: An emerging paradigm for landscape architecture.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Review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5 (2): 5–25. </w:t>
      </w:r>
    </w:p>
    <w:p w:rsidR="00985F8A" w:rsidRPr="006968EF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6968EF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Corner, J. 1990. A discourse on theory I: Sounding the depths—origins, theory and representation. </w:t>
      </w:r>
      <w:r w:rsidRPr="006968EF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Journal </w:t>
      </w:r>
      <w:r w:rsidRPr="006968EF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9 (2): 61–78. </w:t>
      </w:r>
    </w:p>
    <w:p w:rsidR="00985F8A" w:rsidRPr="006968EF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Corner, J. </w:t>
      </w:r>
      <w:r w:rsidRPr="006968EF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1991. A discourse on theory II: Three tyrannies of contemporary theory and the alternative of hermeneutics. </w:t>
      </w:r>
      <w:r w:rsidRPr="006968EF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Journal </w:t>
      </w:r>
      <w:r w:rsidRPr="006968EF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10 (2): 115–33. </w:t>
      </w:r>
    </w:p>
    <w:p w:rsidR="00985F8A" w:rsidRPr="006968EF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Corner, J. </w:t>
      </w:r>
      <w:r w:rsidRPr="006968EF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1992. Representation and landscape: Drawing and making in the landscape medium. </w:t>
      </w:r>
      <w:r w:rsidRPr="006968EF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Word and Image </w:t>
      </w:r>
      <w:r w:rsidRPr="006968EF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8 (3): 243–75.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Eaton, M. M. 1990. Responding to the call for new landscape metaphors.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Journal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9 (1): 22–27.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LaGro, J. A. 1999. Research capacity: A matter of semantics?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Journal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18 (2): 179–86.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McAvin, M., E. K. Meyer, J. Corner, H. Shirvani, K. Helphand, R. B. Riley, and R. Scarfo. 1991. Landscape architecture as critical inquiry.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Journal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10 (1): 155–72.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Meeus, J. H. A., and M. J. Vroom. 1986. Critique and theory in Dutch landscape architec- ture.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and Urban Planning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13: 277–302.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Milburn, L. A., R. D. Brown, S. J. Mulley, and S. G. Hilts 2003. Assessing academic contri- butions in landscape architecture.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and Urban Planning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64: 119–29.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Selman, P. 1998. Landscape design as research: An emerging debate.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Research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23 (2): 195–204.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Swaffield, S.R.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2006. Theory and critique in landscape architecture.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Journal of Landscape Architecture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1: 22–29.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Thwaites, K. 1998. Landscape design as research: An exploration.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Research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23 (2): 196–98.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Wortham, B. D. 2007. The way we think about the way we think: Architecture is a para- digm for reconsidering research.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Journal of Architectural Education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61(1): 44–52.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Carlson, A. 1993. On the theoretical vacuum in landscape assessment.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Journal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12 (1): 51–58.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Bowring, J. 1997. Research by design: The refereed studio.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Landscape Review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3 (2): 54–55. </w:t>
      </w:r>
    </w:p>
    <w:p w:rsidR="00985F8A" w:rsidRPr="00C36C96" w:rsidRDefault="00985F8A" w:rsidP="00985F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Berrizbeita, A., ed. 1997. Landscape architecture criticism. </w:t>
      </w:r>
      <w:r w:rsidRPr="00C36C96">
        <w:rPr>
          <w:rFonts w:ascii="CenturyOldStyle" w:eastAsia="Times New Roman" w:hAnsi="CenturyOldStyle" w:cs="Times New Roman"/>
          <w:i/>
          <w:iCs/>
          <w:sz w:val="18"/>
          <w:szCs w:val="18"/>
          <w:lang w:eastAsia="tr-TR"/>
        </w:rPr>
        <w:t xml:space="preserve">LandForum </w:t>
      </w:r>
      <w:r w:rsidRPr="00C36C96">
        <w:rPr>
          <w:rFonts w:ascii="CenturyOldStyle" w:eastAsia="Times New Roman" w:hAnsi="CenturyOldStyle" w:cs="Times New Roman"/>
          <w:sz w:val="18"/>
          <w:szCs w:val="18"/>
          <w:lang w:eastAsia="tr-TR"/>
        </w:rPr>
        <w:t xml:space="preserve">(Fall/Winter) 1997: 9–10. </w:t>
      </w: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Rosenberg, A. M. (1986). An emerging paradigm for landscape architecture.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Journal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5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75-82.</w:t>
      </w:r>
    </w:p>
    <w:p w:rsidR="00985F8A" w:rsidRDefault="00985F8A" w:rsidP="00985F8A"/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Thompson, I. (2000). Aesthetic, social and ecological values in landscape architecture: a discourse analysis.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Ethics, Place &amp; Environment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3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(3), 269-287</w:t>
      </w:r>
      <w:r>
        <w:rPr>
          <w:rFonts w:ascii="Times New Roman" w:eastAsia="Times New Roman" w:hAnsi="Times New Roman" w:cs="Times New Roman"/>
          <w:lang w:eastAsia="tr-TR"/>
        </w:rPr>
        <w:t>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Weller, R. (2001). Between hermeneutics and datascapes: a critical appreciation of emergent landscape design theory and praxis through the writings of James Corner 1990-2000 (Part One).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review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7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3-24</w:t>
      </w:r>
      <w:r>
        <w:rPr>
          <w:rFonts w:ascii="Times New Roman" w:eastAsia="Times New Roman" w:hAnsi="Times New Roman" w:cs="Times New Roman"/>
          <w:lang w:eastAsia="tr-TR"/>
        </w:rPr>
        <w:t>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Altman, I., &amp; Wohlwill, J. F. (2012).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Human behavior and environment: Advances in theory and research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 (Vol. 2). Springer Science &amp; Business Media.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lastRenderedPageBreak/>
        <w:t>Thompson, I. H. (2008).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Rethinking landscape: A critical reader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Bourassa, S. C. (1988). Toward a theory of landscape aesthetics.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15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(3-4), 241-252.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Lassus, B. (1998).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landscape approach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University of Pennsylvania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Default="00985F8A" w:rsidP="00985F8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Sancar, F. H. (1985). Towards theory generation in landscape aesthetics.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Journal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4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116-124.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Swaffield, S., &amp; Deming, M. E. (2011). Research strategies in landscape architecture: mapping the terrain.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Journal of Landscape Architecture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6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34-45.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Doherty, G., &amp; Waldheim, C. (Eds.). (2015).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Is landscape...?: essays on the identity of landscape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Meijering, J. V., Tobi, H., van den Brink, A., Morris, F., &amp; Bruns, D. (2015). Exploring research priorities in landscape architecture: An international Delphi study.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137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 85-94.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Nasar, J. L. (Ed.). (1992).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Environmental aesthetics: Theory, research, and application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Cambridge University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Deming, M. E., &amp; Swaffield, S. (2011).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architectural research: Inquiry, strategy, design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John Wiley &amp; Sons.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Zube, E. H., Sell, J. L., &amp; Taylor, J. G. (1982). Landscape perception: research, application and theory.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planning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9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1-33.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Van den Brink, A., Bruns, D., Tobi, H., &amp; Bell, S. (2016).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Research in landscape architecture: methods and methodology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Crewe, K., &amp; Forsyth, A. (2003). LandSCAPES: A typology of approaches to landscape architecture.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Journal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22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37-53.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Thwaites, K., &amp; Simkins, I. (2006).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Experiential landscape: an approach to people, place and space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Herrington, S. (2016).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theory in design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Taylor &amp; Francis.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Dee, C. (2004). ‘The imaginary texture of the real…’critical visual studies in landscape architecture: contexts, foundations and approaches.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Research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29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13-30.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Nijhuis, S., &amp; Bobbink, I. (2012). Design-related research in landscape architecture.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Journal of Design Research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10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(4), 239-257.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Milburn, L. A. S., Brown, R. D., Mulley, S. J., &amp; Hilts, S. G. (2003). Assessing academic contributions in landscape architecture.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64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(3), 119-129.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Stiles, R. (1994). Landscape theory: a missing link between landscape planning and landscape design?.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30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(3), 139-149.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Cantrell, B. E., &amp; Holzman, J. (2015). </w:t>
      </w:r>
      <w:r w:rsidRPr="006523F7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Responsive landscapes: strategies for responsive technologies in landscape architecture</w:t>
      </w:r>
      <w:r w:rsidRPr="006523F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C00775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Thompson, I. H. (2000). </w:t>
      </w:r>
      <w:r w:rsidRPr="00C00775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Ecology, Community and Delight: Sources of values in landscape architecture</w:t>
      </w: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Taylor &amp; Francis.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C00775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Gazvoda, D. (2002). Characteristics of modern landscape architecture and its education. </w:t>
      </w:r>
      <w:r w:rsidRPr="00C00775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C00775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60</w:t>
      </w: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117-133.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C00775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Van den Brink, A., &amp; Bruns, D. (2014). Strategies for enhancing landscape architecture research. </w:t>
      </w:r>
      <w:r w:rsidRPr="00C00775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Research</w:t>
      </w: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C00775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39</w:t>
      </w:r>
      <w:r w:rsidRPr="00C0077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7-20.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Van Etteger, R., Thompson, I. H., &amp; Vicenzotti, V. (2016). Aesthetic creation theory and landscape architecture.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Journal of Landscape Architecture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11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80-91.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Appleton, J. (1996).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experience of landscape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 (pp. 66-7). Chichester: Wiley.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Lenzholzer, S., Duchhart, I., &amp; Koh, J. (2013). ‘Research through designing’in landscape architecture.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113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 120-127.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Corner, J. (1991). A discourse on theory II: Three tyrannies of contemporary theory and the alternative of hermeneutics.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Journal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10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115-133.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Swaffield, S. (Ed.). (2002).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Theory in landscape architecture: a reader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University of Pennsylvania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Corner, J. (1999).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Recovering landscape: Essays in contemporary landscape theory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Princeton Architectural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Murphy, M. D. (2005).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architecture theory: an evolving body of thought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Waveland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Waldheim, C. (2016).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as urbanism: A general theory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Princeton University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Thompson, I. H. (1998). Environmental ethics and the development of landscape architectural theory.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Research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23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175-194.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EC090F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Bell, S., Herlin, I. S., &amp; Stiles, R. (Eds.). (2011). </w:t>
      </w:r>
      <w:r w:rsidRPr="00EC090F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Exploring the boundaries of landscape architecture</w:t>
      </w:r>
      <w:r w:rsidRPr="00EC090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Swaffield, S. R. (2006). Theory and critique in landscape architecture: Making connections.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Journal of Landscape Architecture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22-29.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Murphy, M. (2016).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architecture theory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Island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Leatherbarrow, D. (2011). Is landscape architecture?.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arq: Architectural Research Quarterly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15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(3), 208-215.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Thompson, I. (2014).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architecture: A very short introduction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 (Vol. 387). Oxford University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Kaplan, A. (2009). Landscape architecture's commitment to landscape concept: a missing link?.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Journal of Landscape Architecture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4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56-65.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DeLue, R., &amp; Elkins, J. (Eds.). (2010).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theory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 (Vol. 6).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Terkenli, T. S. (2001). Towards a theory of the landscape: the Aegean landscape as a cultural image.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and urban planning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57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(3-4), 197-208.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Olin, L. (1988). Form, meaning, and expression in landscape architecture.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Journal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7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149-168.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lastRenderedPageBreak/>
        <w:t>Raaphorst, K., Duchhart, I., Van Der Knaap, W., Roeleveld, G., &amp; Van Den Brink, A. (2017). The semiotics of landscape design communication: towards a critical visual research approach in landscape architecture.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Research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42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(1), 120-133.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McAvin, M., Meyer, E. K., Corner, J., Shirvani, H., Helphand, K., Riley, R. B., &amp; Scarfo, R. (1991). Landscape architecture and critical inquiry.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Journal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10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(2), 155-172.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Kienast, F., Wildi, O., &amp; Ghosh, S. (Eds.). (2007).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A changing world: Challenges for landscape research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 (Vol. 8). Springer Science &amp; Business Media.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Knight, A., &amp; Ruddock, L. (Eds.). (2009).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Advanced research methods in the built environment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John Wiley &amp; Sons.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D0AC2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Groat, L. N., &amp; Wang, D. (2013). </w:t>
      </w:r>
      <w:r w:rsidRPr="008D0AC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Architectural research methods</w:t>
      </w:r>
      <w:r w:rsidRPr="008D0AC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John Wiley &amp; Sons.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6523F7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D0AC2">
        <w:rPr>
          <w:rFonts w:ascii="Times New Roman" w:eastAsia="Times New Roman" w:hAnsi="Times New Roman" w:cs="Times New Roman"/>
          <w:lang w:eastAsia="tr-TR"/>
        </w:rPr>
        <w:t>Mueller, L</w:t>
      </w:r>
      <w:r>
        <w:rPr>
          <w:rFonts w:ascii="Times New Roman" w:eastAsia="Times New Roman" w:hAnsi="Times New Roman" w:cs="Times New Roman"/>
          <w:lang w:eastAsia="tr-TR"/>
        </w:rPr>
        <w:t>.</w:t>
      </w:r>
      <w:r w:rsidRPr="008D0AC2">
        <w:rPr>
          <w:rFonts w:ascii="Times New Roman" w:eastAsia="Times New Roman" w:hAnsi="Times New Roman" w:cs="Times New Roman"/>
          <w:lang w:eastAsia="tr-TR"/>
        </w:rPr>
        <w:t xml:space="preserve"> &amp; Eulenstein, F. (2019). Current Trends in Landscape Research. </w:t>
      </w:r>
      <w:r>
        <w:rPr>
          <w:rFonts w:ascii="Times New Roman" w:eastAsia="Times New Roman" w:hAnsi="Times New Roman" w:cs="Times New Roman"/>
          <w:lang w:eastAsia="tr-TR"/>
        </w:rPr>
        <w:t>Springer.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E720E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Antrop, M., &amp; Van Eetvelde, V. (2017). </w:t>
      </w:r>
      <w:r w:rsidRPr="008E720E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perspectives: The holistic nature of landscape</w:t>
      </w: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 (Vol. 23). Springer.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E720E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Kühne, O. (2019). </w:t>
      </w:r>
      <w:r w:rsidRPr="008E720E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Landscape Theories: A Brief Introduction</w:t>
      </w: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Springer.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E720E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Silva, E. A., Healey, P., Harris, N., &amp; Van den Broeck, P. (Eds.). (2014). </w:t>
      </w:r>
      <w:r w:rsidRPr="008E720E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Routledge handbook of planning research methods</w:t>
      </w: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E720E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Cosgrove, D. E. (1998). </w:t>
      </w:r>
      <w:r w:rsidRPr="008E720E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Social formation and symbolic landscape</w:t>
      </w: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Univ of Wisconsin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E720E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Corner, J. (2014). </w:t>
      </w:r>
      <w:r w:rsidRPr="008E720E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landscape imagination [electronic resource]: collected essays of James Corner, 1990-2010</w:t>
      </w: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Princeton Architectural Press, New York.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8E720E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Rapoport, A. (1990). </w:t>
      </w:r>
      <w:r w:rsidRPr="008E720E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meaning of the built environment: A nonverbal communication approach</w:t>
      </w:r>
      <w:r w:rsidRPr="008E720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University of Arizona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DF7F10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Goss, J. (1988). The built environment and social theory: towards an architectural geography. </w:t>
      </w:r>
      <w:r w:rsidRPr="00DF7F10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Professional Geographer</w:t>
      </w: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DF7F10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40</w:t>
      </w: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(4), 392-403.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DF7F10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Howard, P., Thompson, I., Waterton, E., &amp; Atha, M. (2018). </w:t>
      </w:r>
      <w:r w:rsidRPr="00DF7F10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The Routledge companion to landscape studies</w:t>
      </w: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Routledge.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DF7F10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Kaplan, R., Kaplan, S., &amp; Ryan, R. (1998). </w:t>
      </w:r>
      <w:r w:rsidRPr="00DF7F10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With people in mind: Design and management of everyday nature</w:t>
      </w: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 Island press.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Default="00985F8A" w:rsidP="00985F8A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</w:pP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John, L. (1987). Creating architectural theory. </w:t>
      </w:r>
      <w:r w:rsidRPr="00DF7F10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Company mc, New York</w:t>
      </w: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DF7F10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594</w:t>
      </w:r>
      <w:r w:rsidRPr="00DF7F1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BC7A6D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BC7A6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Chen, Z., Miller, P. A., Clements, T. L., &amp; Kim, M. (2017). Mapping research in landscape architecture: balancing supply of academic knowledge and demand of professional practice. </w:t>
      </w:r>
      <w:r w:rsidRPr="00BC7A6D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Eurasia Journal of Mathematics Science and Technology Education</w:t>
      </w:r>
      <w:r w:rsidRPr="00BC7A6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, </w:t>
      </w:r>
      <w:r w:rsidRPr="00BC7A6D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13</w:t>
      </w:r>
      <w:r w:rsidRPr="00BC7A6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(7), 3653-3673.</w:t>
      </w:r>
    </w:p>
    <w:p w:rsidR="00985F8A" w:rsidRDefault="00985F8A" w:rsidP="00985F8A">
      <w:pPr>
        <w:rPr>
          <w:rFonts w:ascii="Times New Roman" w:eastAsia="Times New Roman" w:hAnsi="Times New Roman" w:cs="Times New Roman"/>
          <w:lang w:eastAsia="tr-TR"/>
        </w:rPr>
      </w:pPr>
    </w:p>
    <w:p w:rsidR="00985F8A" w:rsidRPr="00DF7F10" w:rsidRDefault="00985F8A" w:rsidP="00985F8A">
      <w:pPr>
        <w:rPr>
          <w:rFonts w:ascii="Times New Roman" w:eastAsia="Times New Roman" w:hAnsi="Times New Roman" w:cs="Times New Roman"/>
          <w:lang w:eastAsia="tr-TR"/>
        </w:rPr>
      </w:pPr>
      <w:r w:rsidRPr="006353A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Eaton, M. (2006, November). Revisiting philosophy and education in landscape architecture. In </w:t>
      </w:r>
      <w:r w:rsidRPr="006353A2">
        <w:rPr>
          <w:rFonts w:ascii="Arial" w:eastAsia="Times New Roman" w:hAnsi="Arial" w:cs="Arial"/>
          <w:i/>
          <w:iCs/>
          <w:color w:val="222222"/>
          <w:sz w:val="20"/>
          <w:szCs w:val="20"/>
          <w:lang w:eastAsia="tr-TR"/>
        </w:rPr>
        <w:t>Proceeding of Design Research Society, International Conference. IADE, Lisbon</w:t>
      </w:r>
      <w:r w:rsidRPr="006353A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tr-TR"/>
        </w:rPr>
        <w:t>.</w:t>
      </w:r>
    </w:p>
    <w:p w:rsidR="00985F8A" w:rsidRDefault="00985F8A">
      <w:bookmarkStart w:id="0" w:name="_GoBack"/>
      <w:bookmarkEnd w:id="0"/>
    </w:p>
    <w:sectPr w:rsidR="00985F8A" w:rsidSect="00616B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CS Gövde)">
    <w:panose1 w:val="02020603050405020304"/>
    <w:charset w:val="00"/>
    <w:family w:val="roman"/>
    <w:notTrueType/>
    <w:pitch w:val="default"/>
  </w:font>
  <w:font w:name="CenturyOldStyle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8A"/>
    <w:rsid w:val="00616B83"/>
    <w:rsid w:val="0098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597386E-A83B-A243-AD9D-88BC99E4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1500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2020-06-18T17:48:00Z</dcterms:created>
  <dcterms:modified xsi:type="dcterms:W3CDTF">2020-06-18T17:48:00Z</dcterms:modified>
</cp:coreProperties>
</file>