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0531F" w14:textId="77777777" w:rsidR="006D26DB" w:rsidRPr="006D26DB" w:rsidRDefault="006D26DB" w:rsidP="00EC36CE">
      <w:pPr>
        <w:spacing w:line="360" w:lineRule="auto"/>
      </w:pPr>
    </w:p>
    <w:p w14:paraId="3801B038" w14:textId="77777777" w:rsidR="005F4C00" w:rsidRPr="005F4C00" w:rsidRDefault="005F4C00" w:rsidP="00EC36CE">
      <w:pPr>
        <w:spacing w:line="360" w:lineRule="auto"/>
        <w:jc w:val="both"/>
        <w:rPr>
          <w:b/>
        </w:rPr>
      </w:pPr>
      <w:r w:rsidRPr="005F4C00">
        <w:rPr>
          <w:b/>
        </w:rPr>
        <w:t>Feminist Teoriler</w:t>
      </w:r>
    </w:p>
    <w:p w14:paraId="33D213A9" w14:textId="77777777" w:rsidR="005F4C00" w:rsidRDefault="005F4C00" w:rsidP="00EC36CE">
      <w:pPr>
        <w:spacing w:line="360" w:lineRule="auto"/>
        <w:jc w:val="both"/>
      </w:pPr>
    </w:p>
    <w:p w14:paraId="1D490088" w14:textId="2E0410C9" w:rsidR="005F4C00" w:rsidRDefault="005F4C00" w:rsidP="00EC36CE">
      <w:pPr>
        <w:spacing w:line="360" w:lineRule="auto"/>
        <w:jc w:val="both"/>
      </w:pPr>
      <w:r>
        <w:t>Feministler, kriminolojik açıdan yapılan çalışmaların erkek suçluluğunu açıkladığını, ancak kadın suçluluğunu göz ardı ettiğini belirtmişlerdir. Feminist düşünce, başlangıçta kadın ve erkeklere eşit muamele edilmesini öngörürken daha so</w:t>
      </w:r>
      <w:r w:rsidR="00BC1E4A">
        <w:t>nra eşit muamele talebinin</w:t>
      </w:r>
      <w:r w:rsidR="00DC3BFC">
        <w:t xml:space="preserve"> kadınların sırtındaki yükün artmasına sebep olduğu görülmüştür. </w:t>
      </w:r>
      <w:r w:rsidR="00BC1E4A">
        <w:t xml:space="preserve">Eşitlik anlayışının erkeklerin lehine saptırılması nedeniyle feministler güç dengesizliğine yol açan aile ve diğer sosyal kurumların yeniden gözden geçirilmesi gerektiği sonucuna varmıştır. Özellikle radikal feministler, kadının güçlenmesi için gerek duyulan sosyal değişimin sağlanmasına odaklanmıştır. </w:t>
      </w:r>
    </w:p>
    <w:p w14:paraId="02CDD8D5" w14:textId="6C07C3AE" w:rsidR="00BC1E4A" w:rsidRDefault="00BC1E4A" w:rsidP="00EC36CE">
      <w:pPr>
        <w:spacing w:line="360" w:lineRule="auto"/>
        <w:jc w:val="both"/>
      </w:pPr>
      <w:r>
        <w:t xml:space="preserve">Erkek egemen toplumsal yapı, kendi  odelini erkek egemenliğini destekleyecek ve kadınlar üzerinde baskı kuracak bir biçimde yapılandırmıştır. Feministler, kriminolojik açıdan yapılan çalışmaların erkek suçluluğunu açıkladığını ancak kadın suçluluğunu göz ardı ettiğini belirtmişlerdir. </w:t>
      </w:r>
    </w:p>
    <w:p w14:paraId="6D04CBB5" w14:textId="4D4CCBFB" w:rsidR="00BC1E4A" w:rsidRDefault="00BC1E4A" w:rsidP="00EC36CE">
      <w:pPr>
        <w:spacing w:line="360" w:lineRule="auto"/>
        <w:jc w:val="both"/>
      </w:pPr>
      <w:r>
        <w:t xml:space="preserve">Kadınlar ve erkekler arasında hem suç işleme oranları hem de suçların türleri farklıdır. Tarihsel bağlamda, kadın suçluluğu olarak ensest, zina, çocuk düşürme, yeni doğan öldürme ve zehirleme suçları öncelikle sıralanmaktadır. Feministler suç işleme davranışı ile mağduriyet arasında ayrım yapmanın güçlüğü üzerinde özellikle durmuşlardır. Kadın sosyal yapı içinde özgürleşmesine rağmen hukuki açıdan mağduriyetlerini giderecek bir sosyal planlamaya hala kavuşamamıştır, örtülü mağduriyet hala devam etmektedir. Bu nedenle, kadının suçlarının bir kısmının karşı karşıya kaldığı mağduriyetlere yönelik bir meşru müdafaaa sayılabilmesini gerekli görmektedirler. Kadın suçluluğu olarak görülen aksine çoğu zaman maruz kaldıkları duygusal veya fiziki şiddete karşı verdikleri cevaptır. </w:t>
      </w:r>
    </w:p>
    <w:p w14:paraId="218F8DCF" w14:textId="77777777" w:rsidR="00BC1E4A" w:rsidRDefault="00BC1E4A" w:rsidP="00EC36CE">
      <w:pPr>
        <w:spacing w:line="360" w:lineRule="auto"/>
        <w:jc w:val="both"/>
      </w:pPr>
    </w:p>
    <w:p w14:paraId="14A6157C" w14:textId="77777777" w:rsidR="005F4C00" w:rsidRDefault="005F4C00" w:rsidP="00EC36CE">
      <w:pPr>
        <w:spacing w:line="360" w:lineRule="auto"/>
        <w:jc w:val="both"/>
      </w:pPr>
    </w:p>
    <w:p w14:paraId="312B1530" w14:textId="00136911" w:rsidR="005A471F" w:rsidRPr="005A471F" w:rsidRDefault="005A471F" w:rsidP="00EC36CE">
      <w:pPr>
        <w:spacing w:line="360" w:lineRule="auto"/>
        <w:jc w:val="both"/>
        <w:rPr>
          <w:b/>
        </w:rPr>
      </w:pPr>
      <w:r w:rsidRPr="005A471F">
        <w:rPr>
          <w:b/>
        </w:rPr>
        <w:t>Bütünleşik Yaklaşım</w:t>
      </w:r>
    </w:p>
    <w:p w14:paraId="4292F2BD" w14:textId="64A3097E" w:rsidR="006D26DB" w:rsidRDefault="00BC1E4A" w:rsidP="00EC36CE">
      <w:pPr>
        <w:spacing w:line="360" w:lineRule="auto"/>
        <w:jc w:val="both"/>
        <w:rPr>
          <w:b/>
        </w:rPr>
      </w:pPr>
      <w:r>
        <w:t xml:space="preserve">Daha önce ele aldığımız </w:t>
      </w:r>
      <w:r w:rsidR="005F4C00" w:rsidRPr="006D26DB">
        <w:t>suç davranışını açıklamaya yönelik teoriler</w:t>
      </w:r>
      <w:r>
        <w:t>in hepsi</w:t>
      </w:r>
      <w:r w:rsidR="005F4C00" w:rsidRPr="006D26DB">
        <w:t>, bu eylemin belirli bir yönünü ele almışlar ve o açıdan değerlendirmesini yapmışlardır. Bakışın</w:t>
      </w:r>
      <w:r>
        <w:t>,</w:t>
      </w:r>
      <w:r w:rsidR="005F4C00" w:rsidRPr="006D26DB">
        <w:t xml:space="preserve"> belli bir açıyla bağlanmış olması suç gibi son derece </w:t>
      </w:r>
      <w:r w:rsidR="005F4C00" w:rsidRPr="006D26DB">
        <w:lastRenderedPageBreak/>
        <w:t xml:space="preserve">karmaşık olan davranışın bütününü aydınlatmaya yeterli olamaz. Kriminoloji alanında bu denli çok sayıda teorinin bulunmasının bazı açılardan avantaj bazı açılardan ise dezavantaj olduğu konusunda görüşler ileri sürülmektedir. Bu </w:t>
      </w:r>
      <w:r w:rsidR="006D26DB">
        <w:t xml:space="preserve">teorileri biraraya getirmek amacıyla </w:t>
      </w:r>
      <w:r w:rsidR="005F4C00" w:rsidRPr="006D26DB">
        <w:t>etkileşim teorileri ile sosyal kontrol teorilerinin bütünleştirilmeye çalışıldığını görüyoruz. Bu nedenle su</w:t>
      </w:r>
      <w:r w:rsidR="006D26DB">
        <w:t>çu açıklamaya yönelik teorilerden</w:t>
      </w:r>
      <w:r w:rsidR="005F4C00" w:rsidRPr="006D26DB">
        <w:t xml:space="preserve"> birden fazla etkin öğeyi bir arad</w:t>
      </w:r>
      <w:r w:rsidR="006D26DB">
        <w:t>a ele alan bütünleşik teoriler,</w:t>
      </w:r>
      <w:r w:rsidR="005F4C00" w:rsidRPr="006D26DB">
        <w:t xml:space="preserve"> </w:t>
      </w:r>
      <w:r w:rsidR="006D26DB">
        <w:t xml:space="preserve">günümüzde daha fazla kabul görmektedir. </w:t>
      </w:r>
    </w:p>
    <w:p w14:paraId="1A771B72" w14:textId="77777777" w:rsidR="006D26DB" w:rsidRDefault="006D26DB" w:rsidP="00EC36CE">
      <w:pPr>
        <w:spacing w:line="360" w:lineRule="auto"/>
        <w:rPr>
          <w:b/>
        </w:rPr>
      </w:pPr>
    </w:p>
    <w:p w14:paraId="4941597C" w14:textId="77777777" w:rsidR="006D26DB" w:rsidRDefault="006D26DB" w:rsidP="00EC36CE">
      <w:pPr>
        <w:spacing w:line="360" w:lineRule="auto"/>
        <w:rPr>
          <w:b/>
        </w:rPr>
      </w:pPr>
    </w:p>
    <w:p w14:paraId="6B12B38D" w14:textId="77777777" w:rsidR="0052059E" w:rsidRPr="006A500C" w:rsidRDefault="00216066" w:rsidP="00EC36CE">
      <w:pPr>
        <w:spacing w:line="360" w:lineRule="auto"/>
        <w:rPr>
          <w:b/>
        </w:rPr>
      </w:pPr>
      <w:r w:rsidRPr="006A500C">
        <w:rPr>
          <w:b/>
        </w:rPr>
        <w:t xml:space="preserve">Göç ve Suç İlişkisi </w:t>
      </w:r>
    </w:p>
    <w:p w14:paraId="477F0954" w14:textId="77777777" w:rsidR="00216066" w:rsidRDefault="00216066" w:rsidP="00EC36CE">
      <w:pPr>
        <w:spacing w:line="360" w:lineRule="auto"/>
      </w:pPr>
    </w:p>
    <w:p w14:paraId="6F95C4F0" w14:textId="77777777" w:rsidR="00216066" w:rsidRDefault="00216066" w:rsidP="00EC36CE">
      <w:pPr>
        <w:spacing w:line="360" w:lineRule="auto"/>
        <w:jc w:val="both"/>
      </w:pPr>
      <w:r>
        <w:t xml:space="preserve">Göç, insanların belirli bir zaman boyutu içinde bir yerleşim alanından bir yerleşim alanına özel olarak sosyal, ekonomik, kültürel ya da siyasal nedenlerle geçmesidir. </w:t>
      </w:r>
    </w:p>
    <w:p w14:paraId="5FB11AD4" w14:textId="77777777" w:rsidR="00216066" w:rsidRDefault="00216066" w:rsidP="00EC36CE">
      <w:pPr>
        <w:spacing w:line="360" w:lineRule="auto"/>
        <w:jc w:val="both"/>
      </w:pPr>
      <w:r>
        <w:t xml:space="preserve">İç göç, ülke içi göçlerin isimlendirilmesidir. Dış göç ise ülkeler arası göçlere denir. Genel olarak ülkeler arası göç, azgelişmiş ülkelerden gelişmiş ülkelere doğru gerçekleşir. </w:t>
      </w:r>
    </w:p>
    <w:p w14:paraId="285F29BC" w14:textId="1663A8D4" w:rsidR="00216066" w:rsidRDefault="00216066" w:rsidP="00EC36CE">
      <w:pPr>
        <w:spacing w:line="360" w:lineRule="auto"/>
        <w:jc w:val="both"/>
      </w:pPr>
      <w:r>
        <w:t>Göç, hukuksal olarak yasal olmay</w:t>
      </w:r>
      <w:r w:rsidR="00AD09A6">
        <w:t>an girişler, kaçak çalışma vb. s</w:t>
      </w:r>
      <w:r>
        <w:t xml:space="preserve">orunlara yol açar. Bütün bunlar özel düzenlemeleri gerektirir. Göçle birlikte daha da karmaşıklaşan kent, geleneksel değerler sisteminin sarsılmasına, insanların birincil ilişkilerden çok ikincil ilişkilere yönelmesine, toplumun tabakalaşma düzeyinin artmasına neden olmuştur. </w:t>
      </w:r>
    </w:p>
    <w:p w14:paraId="65D0C84B" w14:textId="77777777" w:rsidR="00216066" w:rsidRDefault="00216066" w:rsidP="00EC36CE">
      <w:pPr>
        <w:spacing w:line="360" w:lineRule="auto"/>
        <w:jc w:val="both"/>
      </w:pPr>
      <w:r>
        <w:t xml:space="preserve">Sosyo-tarihsel yaklaşım, göç olgusunu sosyolojik bakımdan inceler. Sosyolojik incelemelerin sonucunda yeni göç dalgalarının daha önce gelen ve farklılıkları vurgulanan göçmenlerin toplumsal bütünleşmelerine katkı sağladığı tespit edilmiştir. </w:t>
      </w:r>
    </w:p>
    <w:p w14:paraId="15A0CB87" w14:textId="77777777" w:rsidR="00216066" w:rsidRDefault="00216066" w:rsidP="00EC36CE">
      <w:pPr>
        <w:spacing w:line="360" w:lineRule="auto"/>
        <w:jc w:val="both"/>
      </w:pPr>
      <w:r>
        <w:t xml:space="preserve">Kuramsal yaklaşım, göçmenlik halinin hukuki çerçevesinin incelenmesi, bütünleşmeyi sağlayıcı politikaların neler olabileceği gibi konularla ilgilenir. </w:t>
      </w:r>
    </w:p>
    <w:p w14:paraId="54ACAB32" w14:textId="77777777" w:rsidR="00216066" w:rsidRDefault="00216066" w:rsidP="00EC36CE">
      <w:pPr>
        <w:spacing w:line="360" w:lineRule="auto"/>
        <w:jc w:val="both"/>
      </w:pPr>
      <w:r>
        <w:t xml:space="preserve">Etkileşimsel yaklaşım ise göçmen temelli bir yaklaşımdır. Göçmenlerin bütünleşme meselesine nasıl tepki gösterdiği üzerinden durmaktadır. </w:t>
      </w:r>
    </w:p>
    <w:p w14:paraId="7F307CFE" w14:textId="77777777" w:rsidR="006A500C" w:rsidRDefault="006A500C" w:rsidP="00EC36CE">
      <w:pPr>
        <w:spacing w:line="360" w:lineRule="auto"/>
        <w:jc w:val="both"/>
      </w:pPr>
      <w:r>
        <w:t xml:space="preserve">Göçün tipik özellikleri olan sosyal mesafe, anonim ilişkiler ve yoğun hareketlilik geçiş bölgelerinde açıkça gözlemlenir. Böyle bir ortam, suç yoluyla yaşamını kazananları da kendisine çeker. </w:t>
      </w:r>
    </w:p>
    <w:p w14:paraId="0A855A61" w14:textId="77777777" w:rsidR="00AD09A6" w:rsidRDefault="00AD09A6" w:rsidP="00AD09A6">
      <w:pPr>
        <w:spacing w:line="360" w:lineRule="auto"/>
        <w:jc w:val="both"/>
        <w:rPr>
          <w:lang w:val="en-US"/>
        </w:rPr>
      </w:pPr>
      <w:r>
        <w:rPr>
          <w:lang w:val="en-US"/>
        </w:rPr>
        <w:t>B</w:t>
      </w:r>
      <w:r w:rsidRPr="00AD09A6">
        <w:rPr>
          <w:lang w:val="en-US"/>
        </w:rPr>
        <w:t>ilindiği üzere kapitalizm çarkını döndürmek için sürekli ucuz emek gücü üretmek zorunda. 1980 öncesinde, şehirlere göçenlerin işçi olarak başladığı hayat, çocuklarının eğitimiyle</w:t>
      </w:r>
      <w:r>
        <w:rPr>
          <w:lang w:val="en-US"/>
        </w:rPr>
        <w:t xml:space="preserve"> ya da işgal ettikleri arsalardan rant elde ederek</w:t>
      </w:r>
      <w:r w:rsidRPr="00AD09A6">
        <w:rPr>
          <w:lang w:val="en-US"/>
        </w:rPr>
        <w:t xml:space="preserve"> orta sınıf</w:t>
      </w:r>
      <w:r>
        <w:rPr>
          <w:lang w:val="en-US"/>
        </w:rPr>
        <w:t>a doğru yol almak şeklindeydi. B</w:t>
      </w:r>
      <w:r w:rsidRPr="00AD09A6">
        <w:rPr>
          <w:lang w:val="en-US"/>
        </w:rPr>
        <w:t>oşalan yerlere yenileri göçüy</w:t>
      </w:r>
      <w:r>
        <w:rPr>
          <w:lang w:val="en-US"/>
        </w:rPr>
        <w:t xml:space="preserve">or ve yoksulluk devralınıyordu (nöbetleşe yoksulluk).  Eskiler ile yeniler arasında bir ortaklık oluşuyordu. </w:t>
      </w:r>
    </w:p>
    <w:p w14:paraId="4475D4D7" w14:textId="38E8FD40" w:rsidR="00AD09A6" w:rsidRPr="00AD09A6" w:rsidRDefault="00AD09A6" w:rsidP="00AD09A6">
      <w:pPr>
        <w:spacing w:line="360" w:lineRule="auto"/>
        <w:jc w:val="both"/>
        <w:rPr>
          <w:lang w:val="en-US"/>
        </w:rPr>
      </w:pPr>
      <w:r>
        <w:rPr>
          <w:lang w:val="en-US"/>
        </w:rPr>
        <w:t>B</w:t>
      </w:r>
      <w:r w:rsidRPr="00AD09A6">
        <w:rPr>
          <w:lang w:val="en-US"/>
        </w:rPr>
        <w:t>u ortaklık; (a) her seferinde arsa ve konut piyasasında kurulan ilişkilere dayanır; (b) çoğu kez iş piyasasında kurulu olan özellikle hemşehrilik esaslı ilişkilerle eklemlenir; (c) bu piyasalarda yaratılan gelir, sistem içinde yer alan bireylere eşitsiz dağıtılır; (d) ve politik ilişkiler, bu eşitsiz getiriler temelinde yükselir.</w:t>
      </w:r>
    </w:p>
    <w:p w14:paraId="6E5D1889" w14:textId="1B53A615" w:rsidR="00AD09A6" w:rsidRPr="00AD09A6" w:rsidRDefault="00AD09A6" w:rsidP="00AD09A6">
      <w:pPr>
        <w:spacing w:line="360" w:lineRule="auto"/>
        <w:jc w:val="both"/>
        <w:rPr>
          <w:lang w:val="en-US"/>
        </w:rPr>
      </w:pPr>
      <w:r w:rsidRPr="00AD09A6">
        <w:rPr>
          <w:lang w:val="en-US"/>
        </w:rPr>
        <w:t>1980 sonra</w:t>
      </w:r>
      <w:r w:rsidR="00473BD9">
        <w:rPr>
          <w:lang w:val="en-US"/>
        </w:rPr>
        <w:t>sında, neo-liberal politikaların yavaş yavaş yerleşmesiyle</w:t>
      </w:r>
      <w:r>
        <w:rPr>
          <w:lang w:val="en-US"/>
        </w:rPr>
        <w:t>, bu nöbetleşmeye son verildi. A</w:t>
      </w:r>
      <w:r w:rsidRPr="00AD09A6">
        <w:rPr>
          <w:lang w:val="en-US"/>
        </w:rPr>
        <w:t>rtık gelenler geldikler</w:t>
      </w:r>
      <w:r w:rsidR="00473BD9">
        <w:rPr>
          <w:lang w:val="en-US"/>
        </w:rPr>
        <w:t>i haliyle kalmaya mahkum</w:t>
      </w:r>
      <w:r>
        <w:rPr>
          <w:lang w:val="en-US"/>
        </w:rPr>
        <w:t>lar. B</w:t>
      </w:r>
      <w:r w:rsidRPr="00AD09A6">
        <w:rPr>
          <w:lang w:val="en-US"/>
        </w:rPr>
        <w:t>u durum, kitleleri ilelebet yoksulluklarına mahkum ederken, sistemin işletilebilmesi için cemaatlere ihtiyaç duyacaktı.</w:t>
      </w:r>
      <w:bookmarkStart w:id="0" w:name="_GoBack"/>
      <w:bookmarkEnd w:id="0"/>
    </w:p>
    <w:p w14:paraId="43FB1BCB" w14:textId="77777777" w:rsidR="00546E50" w:rsidRDefault="00546E50" w:rsidP="00EC36CE">
      <w:pPr>
        <w:spacing w:line="360" w:lineRule="auto"/>
        <w:jc w:val="both"/>
      </w:pPr>
    </w:p>
    <w:p w14:paraId="13660B4C" w14:textId="4DFC2A34" w:rsidR="00546E50" w:rsidRPr="00546E50" w:rsidRDefault="00546E50" w:rsidP="00EC36CE">
      <w:pPr>
        <w:spacing w:line="360" w:lineRule="auto"/>
        <w:jc w:val="both"/>
        <w:rPr>
          <w:b/>
        </w:rPr>
      </w:pPr>
      <w:r w:rsidRPr="00546E50">
        <w:rPr>
          <w:b/>
        </w:rPr>
        <w:t>Yaş-Suç İlişkisi</w:t>
      </w:r>
    </w:p>
    <w:p w14:paraId="4CCC2033" w14:textId="77777777" w:rsidR="00546E50" w:rsidRDefault="00546E50" w:rsidP="00EC36CE">
      <w:pPr>
        <w:spacing w:line="360" w:lineRule="auto"/>
        <w:jc w:val="both"/>
      </w:pPr>
    </w:p>
    <w:p w14:paraId="40CB2567" w14:textId="18732BB1" w:rsidR="00546E50" w:rsidRDefault="00546E50" w:rsidP="00EC36CE">
      <w:pPr>
        <w:spacing w:line="360" w:lineRule="auto"/>
        <w:jc w:val="both"/>
      </w:pPr>
      <w:r>
        <w:t xml:space="preserve">Kişinin kaç yaşında olduğu ile eylemlerinin sorumluluğunu alıp almayacağına ilişkin bilgi iki açıdan tartışılabilir: Birincisi yaş küçüklüğü, ikincisi de ileri yaşta olmadır. Yaş büyüklüğü, günümüzde eylemin sonuçlarının değerlendirilmesinde özel bir rahatsızlıkla birleşmiyorsa (örneğin bunama, alzheimer gibi) hukuksal açıdan herhangi bir farklılık oluşturmaz. Asıl üzerinde durulan yaş küçüklüğüdür. </w:t>
      </w:r>
    </w:p>
    <w:p w14:paraId="2D3D019A" w14:textId="2ADB56EA" w:rsidR="00546E50" w:rsidRDefault="00546E50" w:rsidP="00EC36CE">
      <w:pPr>
        <w:spacing w:line="360" w:lineRule="auto"/>
        <w:jc w:val="both"/>
      </w:pPr>
      <w:r>
        <w:t xml:space="preserve">Tarihsel açıdan suç sonuçlarıyla değerlendirildiği için suçu işleyenin yaşı cezalandırma açısından bir önem taşımamıştır. 12 Levha Kanunları, ergenlik ve ergen olmama hali ile ceza sorumluluğu arasında bağlantı kurarak yaşa ilişkin ilk ölçüyü getirmiştir. Ortaçağ’da kurum olarak kilisenin etkisi ile yedi yaş, akıl yaşı sayılıyordu. </w:t>
      </w:r>
    </w:p>
    <w:p w14:paraId="506E19A9" w14:textId="569003CE" w:rsidR="00546E50" w:rsidRDefault="00546E50" w:rsidP="00EC36CE">
      <w:pPr>
        <w:spacing w:line="360" w:lineRule="auto"/>
        <w:jc w:val="both"/>
      </w:pPr>
      <w:r>
        <w:t xml:space="preserve">Modern hukuk, çocuklar için özgün yargılama sistemi, mahkemeler ve infaz kurumları öngörmüştür. </w:t>
      </w:r>
    </w:p>
    <w:p w14:paraId="3BA225C6" w14:textId="77777777" w:rsidR="00546E50" w:rsidRDefault="00546E50" w:rsidP="00EC36CE">
      <w:pPr>
        <w:spacing w:line="360" w:lineRule="auto"/>
        <w:jc w:val="both"/>
      </w:pPr>
    </w:p>
    <w:p w14:paraId="6DEEDEBC" w14:textId="5E0478CD" w:rsidR="00546E50" w:rsidRDefault="00546E50" w:rsidP="00EC36CE">
      <w:pPr>
        <w:spacing w:line="360" w:lineRule="auto"/>
        <w:jc w:val="both"/>
      </w:pPr>
      <w:r>
        <w:t>Çocuk suçluluğu farklı açılardan ele alınmaktadır:</w:t>
      </w:r>
    </w:p>
    <w:p w14:paraId="7FE3B785" w14:textId="1C8CD8DE" w:rsidR="00546E50" w:rsidRDefault="00546E50" w:rsidP="00EC36CE">
      <w:pPr>
        <w:spacing w:line="360" w:lineRule="auto"/>
        <w:jc w:val="both"/>
      </w:pPr>
      <w:r>
        <w:t xml:space="preserve">Birincisi çocuk suçluluğu kavramı ne anlama geliyor? Ortaya çıkışını etkileyen faktörler nelerdir? Neden yetişkin suçluluğundan farklı ele alınmalıdır? Hukuk devletinde kabul gören genel hukuk prensipleri, çocuk suçluluğu alanında ne tür farklılıklar içermektedir? </w:t>
      </w:r>
    </w:p>
    <w:p w14:paraId="6C9B4AAE" w14:textId="77777777" w:rsidR="00546E50" w:rsidRDefault="00546E50" w:rsidP="00EC36CE">
      <w:pPr>
        <w:spacing w:line="360" w:lineRule="auto"/>
        <w:jc w:val="both"/>
      </w:pPr>
    </w:p>
    <w:p w14:paraId="55311B85" w14:textId="3D069951" w:rsidR="00546E50" w:rsidRDefault="00546E50" w:rsidP="00EC36CE">
      <w:pPr>
        <w:spacing w:line="360" w:lineRule="auto"/>
        <w:jc w:val="both"/>
      </w:pPr>
      <w:r>
        <w:t xml:space="preserve">Verilen cezanın infazı ve infazın uygulanış biçimleri çocuk suçluluğu alanında farklılık göstermektedir. Suçlu çocuk, suçlu yetişkinlerden ayrı değerlendirilmekte ve yeniden eğitilip topluma kazandırılmaya çalışılmaktadır. Günümüzde cezaların indirimli uygulanmasından çocukların özel mahkemelerde yargılanmasına kadar çeşitli gelişmeler gerçekleşmiştir. </w:t>
      </w:r>
    </w:p>
    <w:p w14:paraId="201129B6" w14:textId="77777777" w:rsidR="00546E50" w:rsidRDefault="00546E50" w:rsidP="00EC36CE">
      <w:pPr>
        <w:spacing w:line="360" w:lineRule="auto"/>
        <w:jc w:val="both"/>
      </w:pPr>
    </w:p>
    <w:p w14:paraId="4D79E4F6" w14:textId="4CA3B2EC" w:rsidR="00546E50" w:rsidRPr="00546E50" w:rsidRDefault="00546E50" w:rsidP="00EC36CE">
      <w:pPr>
        <w:spacing w:line="360" w:lineRule="auto"/>
        <w:jc w:val="both"/>
        <w:rPr>
          <w:b/>
        </w:rPr>
      </w:pPr>
      <w:r w:rsidRPr="00546E50">
        <w:rPr>
          <w:b/>
        </w:rPr>
        <w:t>Çocuk Suçluluğunun Nedenleri</w:t>
      </w:r>
    </w:p>
    <w:p w14:paraId="585193E6" w14:textId="0D8364DE" w:rsidR="00546E50" w:rsidRDefault="00546E50" w:rsidP="00EC36CE">
      <w:pPr>
        <w:spacing w:line="360" w:lineRule="auto"/>
        <w:jc w:val="both"/>
      </w:pPr>
      <w:r>
        <w:t xml:space="preserve">Çocuk suçluluğunun nedenleri, kişiye ve kişiliğe bağlı nedenlerin yanında çevresel nedenler, akran grupları ve iş yaşamı açısından ele alınabilir. </w:t>
      </w:r>
      <w:r w:rsidR="000C234E">
        <w:t xml:space="preserve">Çocuğun fiziksel özelliklerinin ya da psikolojik durumunun suçla olan ilişkisi birçiok araştırmaya konu olmuştur. Ancak bu iki etken suçlulukla ilişkilendirmek için yeterli görülmemektedir. Çocuk suçluluğunun kalıtımsal olmayan kişisel sebepleri arasında, annenin hamilelik sırasında yeterince beslenememesi, ilaç, alkol ve uyuşturucu madde kullanması, psikolojik ve fiziksel şoklara maruz kalması gibi nedenler sayılmaktadır. İstanbul Kriminoloji Enstitüsü’nde yapılan ankette suç işleyen çocukların %13 gibi önemli bir bölümünün ağır bedensel ve ruhsal hastalıklar geçirdikleri saptanmıştır. </w:t>
      </w:r>
    </w:p>
    <w:p w14:paraId="7E0B2B27" w14:textId="71073845" w:rsidR="000C234E" w:rsidRDefault="000C234E" w:rsidP="00EC36CE">
      <w:pPr>
        <w:spacing w:line="360" w:lineRule="auto"/>
        <w:jc w:val="both"/>
      </w:pPr>
      <w:r>
        <w:t xml:space="preserve">Çocuk, kusur yeteneği açısından farklı ele alınmalıdır. Bu nedenle Türk hukukunda Çocuk Mahkemeleri Yasası kabul edilmiştir. Ayrıca uluslararası alanda çocuk yargılamasına ilişkin kabul edilmiş olan iki anlaşma vardır. Bunlar Beijing </w:t>
      </w:r>
      <w:r w:rsidR="00AD09A6">
        <w:t xml:space="preserve">(Pekin) </w:t>
      </w:r>
      <w:r>
        <w:t xml:space="preserve">Kuralları ve Çocuk Hakları Sözleşmeleridir. </w:t>
      </w:r>
    </w:p>
    <w:p w14:paraId="04C14922" w14:textId="60657D85" w:rsidR="000C234E" w:rsidRDefault="000C234E" w:rsidP="00EC36CE">
      <w:pPr>
        <w:spacing w:line="360" w:lineRule="auto"/>
        <w:jc w:val="both"/>
      </w:pPr>
      <w:r>
        <w:t xml:space="preserve">Türk Hukuku’nda yetişkin için suç oluşturan davranışların çocuklar için de suç oluşturduğunu görüyoruz. Genel çocuk tanımı 18 yaş sınırı ile gösterilmiş olmakla birlikte yasada üçlü bir ayrıma gidilmiştir. </w:t>
      </w:r>
      <w:r w:rsidRPr="00BC1E4A">
        <w:rPr>
          <w:b/>
        </w:rPr>
        <w:t>On iki yaşa kadar, on iki-on beş yaş arası ve on beş-on sekiz yaş arası bölümlendirme yapılmıştır.</w:t>
      </w:r>
      <w:r>
        <w:t xml:space="preserve"> Bu üçlü ayrım çocuklar açısından isnat yeteneği bakımından dikkate alınacak bölümlemeyi göstermektedir. 12 yaşına kadar olan çocuklar hakkında ceza kovuşturması yapılamaz. Ancak güvenlik tedbiri uygulanabilir. </w:t>
      </w:r>
    </w:p>
    <w:p w14:paraId="06E37E00" w14:textId="4EC34E7C" w:rsidR="000C234E" w:rsidRDefault="000C234E" w:rsidP="00EC36CE">
      <w:pPr>
        <w:spacing w:line="360" w:lineRule="auto"/>
        <w:jc w:val="both"/>
      </w:pPr>
      <w:r>
        <w:t xml:space="preserve">On iki-on beş yaş grubu çocukların ceza sorumluluğunun saptanması için “fiilin hukuki anlam ve sonuçlarını algılama, davranışlarını yönlendirme yeteneği”ne sahip olmadığı olmadığı incelenecektir. Ceza sorumluluğunun doğmadığı hallerde çocuklar hakkında çocuklara özgü güvenlik tedbirleri alınacaktır. Bu tedbirler, danışmanlık, eğitim, bakım, sağlık ve barınmadır. Ceza sorumluluğunun bulunduğu hallerde ise cezada indirim yapılacaktır. </w:t>
      </w:r>
    </w:p>
    <w:p w14:paraId="69AEA77B" w14:textId="77777777" w:rsidR="000C234E" w:rsidRDefault="000C234E" w:rsidP="00EC36CE">
      <w:pPr>
        <w:spacing w:line="360" w:lineRule="auto"/>
        <w:jc w:val="both"/>
      </w:pPr>
      <w:r>
        <w:t xml:space="preserve">On beş-on sekiz yaş grubunda ise algılama ve yönlendirme yeteneğine sahip olup olmadığına ayrıca bakılmaz. Ceza indirimine gidilir. Hükmün açıklanmasının geri bırakılması ve kamu davası açılmasının ertelenmesi gibi olanaklar da kullanılabilir. Çocuğa karşı işlenen suçlarda da ağırlaştırma uygulandığı görülmektedir. </w:t>
      </w:r>
    </w:p>
    <w:p w14:paraId="1F60846E" w14:textId="77777777" w:rsidR="000C234E" w:rsidRDefault="000C234E" w:rsidP="00EC36CE">
      <w:pPr>
        <w:spacing w:line="360" w:lineRule="auto"/>
        <w:jc w:val="both"/>
      </w:pPr>
    </w:p>
    <w:p w14:paraId="54C5399D" w14:textId="77777777" w:rsidR="000C234E" w:rsidRDefault="000C234E" w:rsidP="00EC36CE">
      <w:pPr>
        <w:spacing w:line="360" w:lineRule="auto"/>
        <w:jc w:val="both"/>
      </w:pPr>
      <w:r>
        <w:t>Çocuğun suçluluğunu etkileyen çevresel faktörler arasında aile, okul ve akran grupları ve iş yaşamı sayılmaktadır.</w:t>
      </w:r>
    </w:p>
    <w:p w14:paraId="5A415FFF" w14:textId="77777777" w:rsidR="000C234E" w:rsidRDefault="000C234E" w:rsidP="00EC36CE">
      <w:pPr>
        <w:spacing w:line="360" w:lineRule="auto"/>
        <w:jc w:val="both"/>
      </w:pPr>
    </w:p>
    <w:p w14:paraId="11C17F73" w14:textId="77777777" w:rsidR="000C234E" w:rsidRPr="00EC36CE" w:rsidRDefault="000C234E" w:rsidP="00EC36CE">
      <w:pPr>
        <w:spacing w:line="360" w:lineRule="auto"/>
        <w:jc w:val="both"/>
        <w:rPr>
          <w:b/>
        </w:rPr>
      </w:pPr>
      <w:r w:rsidRPr="00EC36CE">
        <w:rPr>
          <w:b/>
        </w:rPr>
        <w:t>Ailenin Çocuğun Suça Yönelmesine Etkisi</w:t>
      </w:r>
    </w:p>
    <w:p w14:paraId="7681525B" w14:textId="13029FE5" w:rsidR="000C234E" w:rsidRDefault="000C234E" w:rsidP="00EC36CE">
      <w:pPr>
        <w:spacing w:line="360" w:lineRule="auto"/>
        <w:jc w:val="both"/>
      </w:pPr>
      <w:r>
        <w:t xml:space="preserve">Çevre, özellikle de aile suça yönelmede önemli bir etkendir. </w:t>
      </w:r>
      <w:r w:rsidR="00317DD2">
        <w:t xml:space="preserve">Fiziksel gereksinimlerini karşılayan aile ortamı, çocuk için vazgeçilmez olan güvenlik ve sevgi gereksinimlerini de karşılayarak çocuğun suça yönelmesini engeller. Geniş aile-çekirdek aile farklılaşması kadar aile içindeki çocuk sayısı ve gelir seviyesinin düşük olması suçluluğu artırıcı nedenler olarak görülmektedir. Suçlu çocukların büyük bir kısmı fakir ailelerden gelmektedir. </w:t>
      </w:r>
    </w:p>
    <w:p w14:paraId="5D2DBCDE" w14:textId="77777777" w:rsidR="00B075BB" w:rsidRDefault="00B075BB" w:rsidP="00EC36CE">
      <w:pPr>
        <w:spacing w:line="360" w:lineRule="auto"/>
        <w:jc w:val="both"/>
      </w:pPr>
    </w:p>
    <w:p w14:paraId="3EB37547" w14:textId="72300245" w:rsidR="00B075BB" w:rsidRDefault="00B075BB" w:rsidP="00EC36CE">
      <w:pPr>
        <w:spacing w:line="360" w:lineRule="auto"/>
        <w:jc w:val="both"/>
      </w:pPr>
      <w:r>
        <w:t xml:space="preserve">Ailenin kalıplayan ya da geliştiren aile olarak iki farklı grupta incelendiğini de görmekteyiz. Geleneksel aile yapısı, kalıplayan aile tipi ile çakışır. </w:t>
      </w:r>
    </w:p>
    <w:p w14:paraId="05A6FC77" w14:textId="013FAEE3" w:rsidR="00B075BB" w:rsidRDefault="00B075BB" w:rsidP="00EC36CE">
      <w:pPr>
        <w:spacing w:line="360" w:lineRule="auto"/>
        <w:jc w:val="both"/>
      </w:pPr>
      <w:r>
        <w:t>Ailenin çocuğun yetişmesinde karşıladığı gereksinimleri şöyle sıralayabiliriz:</w:t>
      </w:r>
    </w:p>
    <w:p w14:paraId="36D4153E" w14:textId="5DB02494" w:rsidR="00B075BB" w:rsidRDefault="00B075BB" w:rsidP="00EC36CE">
      <w:pPr>
        <w:spacing w:line="360" w:lineRule="auto"/>
        <w:jc w:val="both"/>
      </w:pPr>
      <w:r>
        <w:t>Değerli olma duygusu;</w:t>
      </w:r>
      <w:r w:rsidR="00BC1E4A">
        <w:t xml:space="preserve"> kalıplayan aileler çocuğa sen olduğun gibi değerli değilsin, ancak benim sana gösterdiğim kalıplar içerisinde değerlisin mesajı verir. Değerli olma duygusu karşılanmamış çocuk kendine güven duymaz, çekingen ve pısırık olur. </w:t>
      </w:r>
    </w:p>
    <w:p w14:paraId="0324F942" w14:textId="697BF93D" w:rsidR="00B075BB" w:rsidRDefault="00B075BB" w:rsidP="00EC36CE">
      <w:pPr>
        <w:spacing w:line="360" w:lineRule="auto"/>
        <w:jc w:val="both"/>
      </w:pPr>
      <w:r>
        <w:t>Kişilerin birbirine güven duyması;</w:t>
      </w:r>
      <w:r w:rsidR="00BC1E4A">
        <w:t xml:space="preserve"> kalıplayan ailelerde çocuk kalıpların dışına çıktığı zaman </w:t>
      </w:r>
      <w:r w:rsidR="00147605">
        <w:t>kendine hiç değer verilmeyeceğini bildiği için karşısındakine güven duyup kendisini olduğu gibi göstermez. Zamanla kendi özünden iyice uzaklaşarak yalan söylemekten ve suç işlemekten çekinmez.</w:t>
      </w:r>
    </w:p>
    <w:p w14:paraId="58D5CD16" w14:textId="54158BE0" w:rsidR="00B075BB" w:rsidRDefault="00B075BB" w:rsidP="00EC36CE">
      <w:pPr>
        <w:spacing w:line="360" w:lineRule="auto"/>
        <w:jc w:val="both"/>
      </w:pPr>
      <w:r>
        <w:t>Yakınlık ve dayanışma duygusu;</w:t>
      </w:r>
      <w:r w:rsidR="00147605">
        <w:t xml:space="preserve"> kalıplayan ailelerde baskı esas olduğu için yakınlık ve dayanışma duygusu da yoktur. </w:t>
      </w:r>
    </w:p>
    <w:p w14:paraId="607D0606" w14:textId="59A3EDBC" w:rsidR="00B075BB" w:rsidRDefault="00B075BB" w:rsidP="00EC36CE">
      <w:pPr>
        <w:spacing w:line="360" w:lineRule="auto"/>
        <w:jc w:val="both"/>
      </w:pPr>
      <w:r>
        <w:t>Sorumluluk duygusu;</w:t>
      </w:r>
      <w:r w:rsidR="00147605">
        <w:t xml:space="preserve"> kalıplayan ailelerde çocuğun sorumluluk duygusu gelişmez. Kendi kusurundan doğan olayları kabullenmeyerek başkasının üstüne atarlar. </w:t>
      </w:r>
    </w:p>
    <w:p w14:paraId="05C7891A" w14:textId="00E42B94" w:rsidR="00B075BB" w:rsidRDefault="00B075BB" w:rsidP="00EC36CE">
      <w:pPr>
        <w:spacing w:line="360" w:lineRule="auto"/>
        <w:jc w:val="both"/>
      </w:pPr>
      <w:r>
        <w:t>Mücadel etmesini ve zorlukların üstesinden gelmeyi öğrenme duygusu;</w:t>
      </w:r>
      <w:r w:rsidR="00147605">
        <w:t xml:space="preserve"> bu gereksinimleri de kalıplayan aileler karşılamaz.</w:t>
      </w:r>
    </w:p>
    <w:p w14:paraId="4C687DEB" w14:textId="5FB38034" w:rsidR="00147605" w:rsidRDefault="00147605" w:rsidP="00EC36CE">
      <w:pPr>
        <w:spacing w:line="360" w:lineRule="auto"/>
        <w:jc w:val="both"/>
      </w:pPr>
      <w:r>
        <w:t xml:space="preserve">Mutluluk ve kendini gerçekleştirme duygusu; kalıplayan aile ortamı içinde kuşku ve kaygı olduğu için mutluluk yoktur. </w:t>
      </w:r>
    </w:p>
    <w:p w14:paraId="761E6958" w14:textId="2EFC42BD" w:rsidR="00B075BB" w:rsidRDefault="00B075BB" w:rsidP="00EC36CE">
      <w:pPr>
        <w:spacing w:line="360" w:lineRule="auto"/>
        <w:jc w:val="both"/>
      </w:pPr>
      <w:r>
        <w:t>Sağlıklı manev</w:t>
      </w:r>
      <w:r w:rsidR="00147605">
        <w:t xml:space="preserve">i yaşamın temellerini oluşturma; kalıplayıcı aile kurallara körü körüne uymayı bekler. Kişinin vicdani gelişimine, aklına, gözlemlemesine ve sosyal yaşamı öğrenmesine izin vermez. </w:t>
      </w:r>
    </w:p>
    <w:p w14:paraId="1E992826" w14:textId="77777777" w:rsidR="00147605" w:rsidRDefault="00147605" w:rsidP="00EC36CE">
      <w:pPr>
        <w:spacing w:line="360" w:lineRule="auto"/>
        <w:jc w:val="both"/>
      </w:pPr>
    </w:p>
    <w:p w14:paraId="74A60B53" w14:textId="194DE0A3" w:rsidR="00147605" w:rsidRPr="00AD09A6" w:rsidRDefault="00147605" w:rsidP="00EC36CE">
      <w:pPr>
        <w:spacing w:line="360" w:lineRule="auto"/>
        <w:jc w:val="both"/>
        <w:rPr>
          <w:b/>
        </w:rPr>
      </w:pPr>
      <w:r w:rsidRPr="00AD09A6">
        <w:rPr>
          <w:b/>
        </w:rPr>
        <w:t>Okulun Çocuk Suçluluğuna Etkisi</w:t>
      </w:r>
    </w:p>
    <w:p w14:paraId="210D60F8" w14:textId="77777777" w:rsidR="00147605" w:rsidRDefault="00147605" w:rsidP="00EC36CE">
      <w:pPr>
        <w:spacing w:line="360" w:lineRule="auto"/>
        <w:jc w:val="both"/>
      </w:pPr>
    </w:p>
    <w:p w14:paraId="5BAF9F2F" w14:textId="2FA49E59" w:rsidR="00147605" w:rsidRDefault="00147605" w:rsidP="00EC36CE">
      <w:pPr>
        <w:spacing w:line="360" w:lineRule="auto"/>
        <w:jc w:val="both"/>
      </w:pPr>
      <w:r>
        <w:t xml:space="preserve">Çocuk büyüdükçe toplumsallaşma sürecine aile dışında kalan faktörlerin etkisi artmaktadır. Çocuğun aile içinde kazandığı tutumlar, onun diğer gruplara katılım biçimlerini de etkilemektedir. Aile içinde edinilen tutum ve davranışlar, otorite figürlerine düşmanlık ya da uyma, liderlik ya da edilgen tutum alış biçiminde kendini gösterecektir. </w:t>
      </w:r>
    </w:p>
    <w:p w14:paraId="7B7AC355" w14:textId="27B9FD63" w:rsidR="00147605" w:rsidRDefault="00147605" w:rsidP="00EC36CE">
      <w:pPr>
        <w:spacing w:line="360" w:lineRule="auto"/>
        <w:jc w:val="both"/>
      </w:pPr>
      <w:r>
        <w:t xml:space="preserve">Okul, toplumsal ortamın ve yetişkinlerin çocuk üzerinde doğrudan doğruya etkisinin görüldüğü bir ortam oluşturur. Böylece toplumsal değerlerin ve normların içselleştirilmesine katkıda bulunur. </w:t>
      </w:r>
    </w:p>
    <w:p w14:paraId="595B8995" w14:textId="4E78E865" w:rsidR="00147605" w:rsidRDefault="00147605" w:rsidP="00EC36CE">
      <w:pPr>
        <w:spacing w:line="360" w:lineRule="auto"/>
        <w:jc w:val="both"/>
      </w:pPr>
      <w:r>
        <w:t xml:space="preserve">Okulun ikinci önemli etkisi, akran gruplarıyla etkileşim olanağıdır. Okulun olumlu etkisi okuldaki başarı ile artmaktadır. Okulda başarısız olan çocukların suç işleme ihtimali artmaktadır. </w:t>
      </w:r>
    </w:p>
    <w:p w14:paraId="253A73CB" w14:textId="77777777" w:rsidR="00147605" w:rsidRPr="00AD09A6" w:rsidRDefault="00147605" w:rsidP="00EC36CE">
      <w:pPr>
        <w:spacing w:line="360" w:lineRule="auto"/>
        <w:jc w:val="both"/>
        <w:rPr>
          <w:b/>
        </w:rPr>
      </w:pPr>
    </w:p>
    <w:p w14:paraId="0F7846A2" w14:textId="1F065899" w:rsidR="00147605" w:rsidRPr="00AD09A6" w:rsidRDefault="00147605" w:rsidP="00EC36CE">
      <w:pPr>
        <w:spacing w:line="360" w:lineRule="auto"/>
        <w:jc w:val="both"/>
        <w:rPr>
          <w:b/>
        </w:rPr>
      </w:pPr>
      <w:r w:rsidRPr="00AD09A6">
        <w:rPr>
          <w:b/>
        </w:rPr>
        <w:t>Akran Grubu ve Suçluluk</w:t>
      </w:r>
    </w:p>
    <w:p w14:paraId="143A6376" w14:textId="7DB06E26" w:rsidR="00147605" w:rsidRDefault="00147605" w:rsidP="00EC36CE">
      <w:pPr>
        <w:spacing w:line="360" w:lineRule="auto"/>
        <w:jc w:val="both"/>
      </w:pPr>
      <w:r>
        <w:t xml:space="preserve">Aile ilişkisi yetersiz olan suç işleme eğilimindeki çocuklar için akran grubunun olumsuz etkisi daha baskındır. </w:t>
      </w:r>
      <w:r w:rsidR="00AD09A6">
        <w:t xml:space="preserve">Özellikle çete görünümündeki akran gruplarının suçluluğa etkisi birçok araştırma ile kanıtlanmıştır. </w:t>
      </w:r>
    </w:p>
    <w:p w14:paraId="572D3E00" w14:textId="77777777" w:rsidR="00AD09A6" w:rsidRDefault="00AD09A6" w:rsidP="00EC36CE">
      <w:pPr>
        <w:spacing w:line="360" w:lineRule="auto"/>
        <w:jc w:val="both"/>
      </w:pPr>
    </w:p>
    <w:p w14:paraId="747E9413" w14:textId="1DA6C97A" w:rsidR="00AD09A6" w:rsidRPr="00AD09A6" w:rsidRDefault="00AD09A6" w:rsidP="00EC36CE">
      <w:pPr>
        <w:spacing w:line="360" w:lineRule="auto"/>
        <w:jc w:val="both"/>
        <w:rPr>
          <w:b/>
        </w:rPr>
      </w:pPr>
      <w:r w:rsidRPr="00AD09A6">
        <w:rPr>
          <w:b/>
        </w:rPr>
        <w:t>İş Yaşamı ve Suçluluk</w:t>
      </w:r>
    </w:p>
    <w:p w14:paraId="370388E0" w14:textId="228C0777" w:rsidR="00AD09A6" w:rsidRDefault="00AD09A6" w:rsidP="00EC36CE">
      <w:pPr>
        <w:spacing w:line="360" w:lineRule="auto"/>
        <w:jc w:val="both"/>
      </w:pPr>
      <w:r>
        <w:t xml:space="preserve">Çocuk için iş yaşamı hukuksal açıdan çıraklık ve işin öğrenimidir. Ancak hukuk dışı olarak çalıştırılan çocuklar vardır. İş ortamı da hem olumlu hem de olumsuz sonuçlar doğrurabilir. Bir taraftan sorumluluk duygusunu artırırken öte yandan yeni model arayışlarına ya da yaşamında büyük yer tutan oyun oynama gereksinimine ket vurarak olumsuz sonuçlara yol açabilir. </w:t>
      </w:r>
    </w:p>
    <w:p w14:paraId="023828B1" w14:textId="49BB2EF1" w:rsidR="006A500C" w:rsidRDefault="006A500C" w:rsidP="00EC36CE">
      <w:pPr>
        <w:spacing w:line="360" w:lineRule="auto"/>
        <w:jc w:val="both"/>
      </w:pPr>
    </w:p>
    <w:sectPr w:rsidR="006A500C"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AA00F" w14:textId="77777777" w:rsidR="00AD09A6" w:rsidRDefault="00AD09A6" w:rsidP="00EC36CE">
      <w:r>
        <w:separator/>
      </w:r>
    </w:p>
  </w:endnote>
  <w:endnote w:type="continuationSeparator" w:id="0">
    <w:p w14:paraId="52DC9C46" w14:textId="77777777" w:rsidR="00AD09A6" w:rsidRDefault="00AD09A6" w:rsidP="00EC3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83493" w14:textId="77777777" w:rsidR="00AD09A6" w:rsidRDefault="00AD09A6" w:rsidP="00BC1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446C37" w14:textId="77777777" w:rsidR="00AD09A6" w:rsidRDefault="00AD09A6" w:rsidP="00EC36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A4A25" w14:textId="77777777" w:rsidR="00AD09A6" w:rsidRDefault="00AD09A6" w:rsidP="00BC1E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3BD9">
      <w:rPr>
        <w:rStyle w:val="PageNumber"/>
        <w:noProof/>
      </w:rPr>
      <w:t>1</w:t>
    </w:r>
    <w:r>
      <w:rPr>
        <w:rStyle w:val="PageNumber"/>
      </w:rPr>
      <w:fldChar w:fldCharType="end"/>
    </w:r>
  </w:p>
  <w:p w14:paraId="54ABEA59" w14:textId="77777777" w:rsidR="00AD09A6" w:rsidRDefault="00AD09A6" w:rsidP="00EC36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59D0C" w14:textId="77777777" w:rsidR="00AD09A6" w:rsidRDefault="00AD09A6" w:rsidP="00EC36CE">
      <w:r>
        <w:separator/>
      </w:r>
    </w:p>
  </w:footnote>
  <w:footnote w:type="continuationSeparator" w:id="0">
    <w:p w14:paraId="15EB634E" w14:textId="77777777" w:rsidR="00AD09A6" w:rsidRDefault="00AD09A6" w:rsidP="00EC36C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B1C6C"/>
    <w:multiLevelType w:val="hybridMultilevel"/>
    <w:tmpl w:val="1AD0DDA6"/>
    <w:lvl w:ilvl="0" w:tplc="E380240A">
      <w:start w:val="1"/>
      <w:numFmt w:val="bullet"/>
      <w:lvlText w:val="•"/>
      <w:lvlJc w:val="left"/>
      <w:pPr>
        <w:tabs>
          <w:tab w:val="num" w:pos="720"/>
        </w:tabs>
        <w:ind w:left="720" w:hanging="360"/>
      </w:pPr>
      <w:rPr>
        <w:rFonts w:ascii="Arial" w:hAnsi="Arial" w:hint="default"/>
      </w:rPr>
    </w:lvl>
    <w:lvl w:ilvl="1" w:tplc="1E7C0004" w:tentative="1">
      <w:start w:val="1"/>
      <w:numFmt w:val="bullet"/>
      <w:lvlText w:val="•"/>
      <w:lvlJc w:val="left"/>
      <w:pPr>
        <w:tabs>
          <w:tab w:val="num" w:pos="1440"/>
        </w:tabs>
        <w:ind w:left="1440" w:hanging="360"/>
      </w:pPr>
      <w:rPr>
        <w:rFonts w:ascii="Arial" w:hAnsi="Arial" w:hint="default"/>
      </w:rPr>
    </w:lvl>
    <w:lvl w:ilvl="2" w:tplc="F5405214" w:tentative="1">
      <w:start w:val="1"/>
      <w:numFmt w:val="bullet"/>
      <w:lvlText w:val="•"/>
      <w:lvlJc w:val="left"/>
      <w:pPr>
        <w:tabs>
          <w:tab w:val="num" w:pos="2160"/>
        </w:tabs>
        <w:ind w:left="2160" w:hanging="360"/>
      </w:pPr>
      <w:rPr>
        <w:rFonts w:ascii="Arial" w:hAnsi="Arial" w:hint="default"/>
      </w:rPr>
    </w:lvl>
    <w:lvl w:ilvl="3" w:tplc="36C48302" w:tentative="1">
      <w:start w:val="1"/>
      <w:numFmt w:val="bullet"/>
      <w:lvlText w:val="•"/>
      <w:lvlJc w:val="left"/>
      <w:pPr>
        <w:tabs>
          <w:tab w:val="num" w:pos="2880"/>
        </w:tabs>
        <w:ind w:left="2880" w:hanging="360"/>
      </w:pPr>
      <w:rPr>
        <w:rFonts w:ascii="Arial" w:hAnsi="Arial" w:hint="default"/>
      </w:rPr>
    </w:lvl>
    <w:lvl w:ilvl="4" w:tplc="7C901C6C" w:tentative="1">
      <w:start w:val="1"/>
      <w:numFmt w:val="bullet"/>
      <w:lvlText w:val="•"/>
      <w:lvlJc w:val="left"/>
      <w:pPr>
        <w:tabs>
          <w:tab w:val="num" w:pos="3600"/>
        </w:tabs>
        <w:ind w:left="3600" w:hanging="360"/>
      </w:pPr>
      <w:rPr>
        <w:rFonts w:ascii="Arial" w:hAnsi="Arial" w:hint="default"/>
      </w:rPr>
    </w:lvl>
    <w:lvl w:ilvl="5" w:tplc="9D8A659E" w:tentative="1">
      <w:start w:val="1"/>
      <w:numFmt w:val="bullet"/>
      <w:lvlText w:val="•"/>
      <w:lvlJc w:val="left"/>
      <w:pPr>
        <w:tabs>
          <w:tab w:val="num" w:pos="4320"/>
        </w:tabs>
        <w:ind w:left="4320" w:hanging="360"/>
      </w:pPr>
      <w:rPr>
        <w:rFonts w:ascii="Arial" w:hAnsi="Arial" w:hint="default"/>
      </w:rPr>
    </w:lvl>
    <w:lvl w:ilvl="6" w:tplc="D98A4514" w:tentative="1">
      <w:start w:val="1"/>
      <w:numFmt w:val="bullet"/>
      <w:lvlText w:val="•"/>
      <w:lvlJc w:val="left"/>
      <w:pPr>
        <w:tabs>
          <w:tab w:val="num" w:pos="5040"/>
        </w:tabs>
        <w:ind w:left="5040" w:hanging="360"/>
      </w:pPr>
      <w:rPr>
        <w:rFonts w:ascii="Arial" w:hAnsi="Arial" w:hint="default"/>
      </w:rPr>
    </w:lvl>
    <w:lvl w:ilvl="7" w:tplc="741E0A4A" w:tentative="1">
      <w:start w:val="1"/>
      <w:numFmt w:val="bullet"/>
      <w:lvlText w:val="•"/>
      <w:lvlJc w:val="left"/>
      <w:pPr>
        <w:tabs>
          <w:tab w:val="num" w:pos="5760"/>
        </w:tabs>
        <w:ind w:left="5760" w:hanging="360"/>
      </w:pPr>
      <w:rPr>
        <w:rFonts w:ascii="Arial" w:hAnsi="Arial" w:hint="default"/>
      </w:rPr>
    </w:lvl>
    <w:lvl w:ilvl="8" w:tplc="1B223F3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66"/>
    <w:rsid w:val="000C234E"/>
    <w:rsid w:val="00147605"/>
    <w:rsid w:val="00216066"/>
    <w:rsid w:val="00317DD2"/>
    <w:rsid w:val="00473BD9"/>
    <w:rsid w:val="0052059E"/>
    <w:rsid w:val="00546E50"/>
    <w:rsid w:val="005A471F"/>
    <w:rsid w:val="005F4C00"/>
    <w:rsid w:val="006A2AFD"/>
    <w:rsid w:val="006A500C"/>
    <w:rsid w:val="006D26DB"/>
    <w:rsid w:val="00AD09A6"/>
    <w:rsid w:val="00B075BB"/>
    <w:rsid w:val="00B23B14"/>
    <w:rsid w:val="00BC1E4A"/>
    <w:rsid w:val="00DC3BFC"/>
    <w:rsid w:val="00EC3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CD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6CE"/>
    <w:pPr>
      <w:tabs>
        <w:tab w:val="center" w:pos="4320"/>
        <w:tab w:val="right" w:pos="8640"/>
      </w:tabs>
    </w:pPr>
  </w:style>
  <w:style w:type="character" w:customStyle="1" w:styleId="FooterChar">
    <w:name w:val="Footer Char"/>
    <w:basedOn w:val="DefaultParagraphFont"/>
    <w:link w:val="Footer"/>
    <w:uiPriority w:val="99"/>
    <w:rsid w:val="00EC36CE"/>
    <w:rPr>
      <w:lang w:val="tr-TR"/>
    </w:rPr>
  </w:style>
  <w:style w:type="character" w:styleId="PageNumber">
    <w:name w:val="page number"/>
    <w:basedOn w:val="DefaultParagraphFont"/>
    <w:uiPriority w:val="99"/>
    <w:semiHidden/>
    <w:unhideWhenUsed/>
    <w:rsid w:val="00EC36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6CE"/>
    <w:pPr>
      <w:tabs>
        <w:tab w:val="center" w:pos="4320"/>
        <w:tab w:val="right" w:pos="8640"/>
      </w:tabs>
    </w:pPr>
  </w:style>
  <w:style w:type="character" w:customStyle="1" w:styleId="FooterChar">
    <w:name w:val="Footer Char"/>
    <w:basedOn w:val="DefaultParagraphFont"/>
    <w:link w:val="Footer"/>
    <w:uiPriority w:val="99"/>
    <w:rsid w:val="00EC36CE"/>
    <w:rPr>
      <w:lang w:val="tr-TR"/>
    </w:rPr>
  </w:style>
  <w:style w:type="character" w:styleId="PageNumber">
    <w:name w:val="page number"/>
    <w:basedOn w:val="DefaultParagraphFont"/>
    <w:uiPriority w:val="99"/>
    <w:semiHidden/>
    <w:unhideWhenUsed/>
    <w:rsid w:val="00EC3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11703">
      <w:bodyDiv w:val="1"/>
      <w:marLeft w:val="0"/>
      <w:marRight w:val="0"/>
      <w:marTop w:val="0"/>
      <w:marBottom w:val="0"/>
      <w:divBdr>
        <w:top w:val="none" w:sz="0" w:space="0" w:color="auto"/>
        <w:left w:val="none" w:sz="0" w:space="0" w:color="auto"/>
        <w:bottom w:val="none" w:sz="0" w:space="0" w:color="auto"/>
        <w:right w:val="none" w:sz="0" w:space="0" w:color="auto"/>
      </w:divBdr>
      <w:divsChild>
        <w:div w:id="254022611">
          <w:marLeft w:val="547"/>
          <w:marRight w:val="0"/>
          <w:marTop w:val="200"/>
          <w:marBottom w:val="0"/>
          <w:divBdr>
            <w:top w:val="none" w:sz="0" w:space="0" w:color="auto"/>
            <w:left w:val="none" w:sz="0" w:space="0" w:color="auto"/>
            <w:bottom w:val="none" w:sz="0" w:space="0" w:color="auto"/>
            <w:right w:val="none" w:sz="0" w:space="0" w:color="auto"/>
          </w:divBdr>
        </w:div>
      </w:divsChild>
    </w:div>
    <w:div w:id="234317955">
      <w:bodyDiv w:val="1"/>
      <w:marLeft w:val="0"/>
      <w:marRight w:val="0"/>
      <w:marTop w:val="0"/>
      <w:marBottom w:val="0"/>
      <w:divBdr>
        <w:top w:val="none" w:sz="0" w:space="0" w:color="auto"/>
        <w:left w:val="none" w:sz="0" w:space="0" w:color="auto"/>
        <w:bottom w:val="none" w:sz="0" w:space="0" w:color="auto"/>
        <w:right w:val="none" w:sz="0" w:space="0" w:color="auto"/>
      </w:divBdr>
    </w:div>
    <w:div w:id="658658205">
      <w:bodyDiv w:val="1"/>
      <w:marLeft w:val="0"/>
      <w:marRight w:val="0"/>
      <w:marTop w:val="0"/>
      <w:marBottom w:val="0"/>
      <w:divBdr>
        <w:top w:val="none" w:sz="0" w:space="0" w:color="auto"/>
        <w:left w:val="none" w:sz="0" w:space="0" w:color="auto"/>
        <w:bottom w:val="none" w:sz="0" w:space="0" w:color="auto"/>
        <w:right w:val="none" w:sz="0" w:space="0" w:color="auto"/>
      </w:divBdr>
    </w:div>
    <w:div w:id="1288120396">
      <w:bodyDiv w:val="1"/>
      <w:marLeft w:val="0"/>
      <w:marRight w:val="0"/>
      <w:marTop w:val="0"/>
      <w:marBottom w:val="0"/>
      <w:divBdr>
        <w:top w:val="none" w:sz="0" w:space="0" w:color="auto"/>
        <w:left w:val="none" w:sz="0" w:space="0" w:color="auto"/>
        <w:bottom w:val="none" w:sz="0" w:space="0" w:color="auto"/>
        <w:right w:val="none" w:sz="0" w:space="0" w:color="auto"/>
      </w:divBdr>
    </w:div>
    <w:div w:id="17621423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7</Pages>
  <Words>1831</Words>
  <Characters>10440</Characters>
  <Application>Microsoft Macintosh Word</Application>
  <DocSecurity>0</DocSecurity>
  <Lines>87</Lines>
  <Paragraphs>24</Paragraphs>
  <ScaleCrop>false</ScaleCrop>
  <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9</cp:revision>
  <dcterms:created xsi:type="dcterms:W3CDTF">2019-11-27T12:16:00Z</dcterms:created>
  <dcterms:modified xsi:type="dcterms:W3CDTF">2019-12-04T08:36:00Z</dcterms:modified>
</cp:coreProperties>
</file>