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36" w:rsidRDefault="00047236" w:rsidP="00047236">
      <w:pPr>
        <w:rPr>
          <w:b/>
        </w:rPr>
      </w:pPr>
    </w:p>
    <w:tbl>
      <w:tblPr>
        <w:tblStyle w:val="TabloKlavuzu"/>
        <w:tblW w:w="9070" w:type="dxa"/>
        <w:tblLayout w:type="fixed"/>
        <w:tblLook w:val="04A0" w:firstRow="1" w:lastRow="0" w:firstColumn="1" w:lastColumn="0" w:noHBand="0" w:noVBand="1"/>
      </w:tblPr>
      <w:tblGrid>
        <w:gridCol w:w="1845"/>
        <w:gridCol w:w="1985"/>
        <w:gridCol w:w="1815"/>
        <w:gridCol w:w="871"/>
        <w:gridCol w:w="546"/>
        <w:gridCol w:w="709"/>
        <w:gridCol w:w="709"/>
        <w:gridCol w:w="590"/>
      </w:tblGrid>
      <w:tr w:rsidR="00047236" w:rsidTr="008C3629">
        <w:trPr>
          <w:trHeight w:val="68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2220">
              <w:rPr>
                <w:rFonts w:ascii="Arial" w:hAnsi="Arial" w:cs="Arial"/>
                <w:b/>
              </w:rPr>
              <w:t>Bölüm:</w:t>
            </w:r>
            <w:r w:rsidRPr="00452220">
              <w:rPr>
                <w:rFonts w:ascii="Arial" w:hAnsi="Arial" w:cs="Arial"/>
                <w:sz w:val="20"/>
                <w:szCs w:val="20"/>
              </w:rPr>
              <w:t xml:space="preserve"> HİT                   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2220">
              <w:rPr>
                <w:rFonts w:ascii="Arial" w:hAnsi="Arial" w:cs="Arial"/>
                <w:b/>
              </w:rPr>
              <w:t>Dersin Adı: Örgüt Sosyolojisi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 w:rsidRPr="00452220">
              <w:rPr>
                <w:rFonts w:ascii="Arial" w:hAnsi="Arial" w:cs="Arial"/>
                <w:b/>
              </w:rPr>
              <w:t xml:space="preserve">Dersin Kodu: </w:t>
            </w:r>
            <w:r w:rsidRPr="00452220">
              <w:rPr>
                <w:rFonts w:ascii="Arial" w:hAnsi="Arial" w:cs="Arial"/>
                <w:sz w:val="20"/>
                <w:szCs w:val="20"/>
              </w:rPr>
              <w:t>İLE216</w:t>
            </w:r>
          </w:p>
        </w:tc>
      </w:tr>
      <w:tr w:rsidR="00047236" w:rsidTr="008C3629">
        <w:trPr>
          <w:trHeight w:val="68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2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2220">
              <w:rPr>
                <w:rFonts w:ascii="Arial" w:hAnsi="Arial" w:cs="Arial"/>
                <w:b/>
              </w:rPr>
              <w:t>Zorunlu</w:t>
            </w:r>
            <w:r w:rsidRPr="00452220">
              <w:rPr>
                <w:rFonts w:ascii="Arial" w:hAnsi="Arial" w:cs="Arial"/>
                <w:sz w:val="20"/>
                <w:szCs w:val="20"/>
              </w:rPr>
              <w:t xml:space="preserve"> ( )</w:t>
            </w:r>
          </w:p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2220">
              <w:rPr>
                <w:rFonts w:ascii="Arial" w:hAnsi="Arial" w:cs="Arial"/>
                <w:b/>
              </w:rPr>
              <w:t>Seçmeli</w:t>
            </w:r>
            <w:r w:rsidRPr="00452220">
              <w:rPr>
                <w:rFonts w:ascii="Arial" w:hAnsi="Arial" w:cs="Arial"/>
              </w:rPr>
              <w:t xml:space="preserve"> </w:t>
            </w:r>
            <w:r w:rsidRPr="00452220">
              <w:rPr>
                <w:rFonts w:ascii="Arial" w:hAnsi="Arial" w:cs="Arial"/>
                <w:sz w:val="20"/>
                <w:szCs w:val="20"/>
              </w:rPr>
              <w:t>( x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2220">
              <w:rPr>
                <w:rFonts w:ascii="Arial" w:hAnsi="Arial" w:cs="Arial"/>
                <w:b/>
              </w:rPr>
              <w:t xml:space="preserve">AKTS: </w:t>
            </w:r>
            <w:r w:rsidRPr="004522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2220">
              <w:rPr>
                <w:rFonts w:ascii="Arial" w:hAnsi="Arial" w:cs="Arial"/>
                <w:b/>
              </w:rPr>
              <w:t xml:space="preserve">Ulusal </w:t>
            </w:r>
            <w:proofErr w:type="gramStart"/>
            <w:r w:rsidRPr="00452220">
              <w:rPr>
                <w:rFonts w:ascii="Arial" w:hAnsi="Arial" w:cs="Arial"/>
                <w:b/>
              </w:rPr>
              <w:t xml:space="preserve">Kredi : </w:t>
            </w:r>
            <w:r w:rsidRPr="00452220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</w:rPr>
            </w:pPr>
            <w:r w:rsidRPr="0045222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452220">
              <w:rPr>
                <w:rFonts w:ascii="Arial" w:hAnsi="Arial" w:cs="Arial"/>
                <w:b/>
              </w:rPr>
              <w:t>Önkoşul:</w:t>
            </w:r>
            <w:r w:rsidRPr="00452220">
              <w:rPr>
                <w:rFonts w:ascii="Arial" w:hAnsi="Arial" w:cs="Arial"/>
              </w:rPr>
              <w:t xml:space="preserve">                  </w:t>
            </w:r>
          </w:p>
          <w:p w:rsidR="00047236" w:rsidRPr="00452220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2220">
              <w:rPr>
                <w:rFonts w:ascii="Arial" w:hAnsi="Arial" w:cs="Arial"/>
                <w:sz w:val="20"/>
                <w:szCs w:val="20"/>
              </w:rPr>
              <w:t xml:space="preserve">  Var (  )     Yok ( x )</w:t>
            </w:r>
          </w:p>
        </w:tc>
      </w:tr>
      <w:tr w:rsidR="00047236" w:rsidTr="008C3629">
        <w:trPr>
          <w:trHeight w:val="81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Dersin Amacı: </w:t>
            </w:r>
          </w:p>
          <w:p w:rsidR="00047236" w:rsidRDefault="00047236" w:rsidP="008C3629">
            <w:pPr>
              <w:pStyle w:val="GvdeMetni"/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Disiplinlerarası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bir bakış açısıyla kişilerarası iletişimin çeşitli bileşenlerini tanımlamak ve bunlar arasındaki ilişkiyi eleştirel bir yaklaşımla ortaya koymak amaçlanmaktadır.</w:t>
            </w:r>
          </w:p>
        </w:tc>
      </w:tr>
      <w:tr w:rsidR="00047236" w:rsidTr="008C3629">
        <w:trPr>
          <w:trHeight w:val="400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Dersin İçeriği / İşlenen Konular: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Giriş</w:t>
            </w:r>
            <w:proofErr w:type="gramEnd"/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Nedir? Modern örgütlerin ortaya çıkışı, sanayi devrimi.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yapılarının oluşturulması ve başlıca örgütsel yapı türleri.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kuramları.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kuramları.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452220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r w:rsidR="00452220">
              <w:rPr>
                <w:rFonts w:ascii="Arial" w:hAnsi="Arial" w:cs="Arial"/>
                <w:sz w:val="20"/>
                <w:szCs w:val="20"/>
              </w:rPr>
              <w:t>Örgüt</w:t>
            </w:r>
            <w:proofErr w:type="gramEnd"/>
            <w:r w:rsidR="00452220">
              <w:rPr>
                <w:rFonts w:ascii="Arial" w:hAnsi="Arial" w:cs="Arial"/>
                <w:sz w:val="20"/>
                <w:szCs w:val="20"/>
              </w:rPr>
              <w:t xml:space="preserve"> kültürü ve örgüt iklimi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452220" w:rsidP="00047236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r>
              <w:rPr>
                <w:rFonts w:ascii="Arial" w:hAnsi="Arial" w:cs="Arial"/>
                <w:sz w:val="20"/>
                <w:szCs w:val="20"/>
              </w:rPr>
              <w:t>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kültürü ve örgüt iklimi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452220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</w:t>
            </w:r>
            <w:r w:rsidR="0045222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452220">
              <w:rPr>
                <w:rFonts w:ascii="Arial" w:hAnsi="Arial" w:cs="Arial"/>
                <w:sz w:val="20"/>
                <w:szCs w:val="20"/>
              </w:rPr>
              <w:t>Postmodern</w:t>
            </w:r>
            <w:proofErr w:type="spellEnd"/>
            <w:proofErr w:type="gramEnd"/>
            <w:r w:rsidR="00452220">
              <w:rPr>
                <w:rFonts w:ascii="Arial" w:hAnsi="Arial" w:cs="Arial"/>
                <w:sz w:val="20"/>
                <w:szCs w:val="20"/>
              </w:rPr>
              <w:t xml:space="preserve"> örgütler ve esneklik.</w:t>
            </w:r>
          </w:p>
        </w:tc>
      </w:tr>
      <w:tr w:rsidR="00047236" w:rsidTr="008C3629">
        <w:trPr>
          <w:trHeight w:val="408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Postmodern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örgütler ve esneklik.</w:t>
            </w:r>
          </w:p>
        </w:tc>
      </w:tr>
      <w:tr w:rsidR="00047236" w:rsidTr="008C3629">
        <w:trPr>
          <w:trHeight w:val="481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Örgütlerde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değişme ve değişime direnç.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Örgütlerde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liderlik ve değişen lider anlayışı.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Davranış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statü ve rol.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Örgütlerde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gruplar.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Genel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değerlendirme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Final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Sınavı</w:t>
            </w:r>
          </w:p>
        </w:tc>
      </w:tr>
      <w:tr w:rsidR="00047236" w:rsidTr="008C3629">
        <w:trPr>
          <w:trHeight w:val="454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047236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Final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Sınavı</w:t>
            </w:r>
          </w:p>
        </w:tc>
      </w:tr>
      <w:tr w:rsidR="00047236" w:rsidTr="008C3629">
        <w:trPr>
          <w:trHeight w:val="426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Kaynaklar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ATABEK, Ümit (1991), Örgüt ve İletişim, Yayınlanmamış doktora tezi, A.Ü Sosyal Bilimler Enstitüsü, Ankara. (22–84).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ŞİMŞEK, Şerif (2001), Yönetim ve Organizasyon, 6.baskı (358–382).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GRİNT,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(1998), Çalışma Sosyolojisi, Alfa yayınları, İstanbul.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SAVCI, İlkay, ‘Küreselleşme, İnsan Kaynakları ve Kültürlerarası Yönetim’, Mülkiye Dergisi, Cilt 27, Sayı: 239, 2003.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ÖNDER, M, ‘Örgütsel ve Yönetsel Eklektizm: Toplam Kalite Yönetimi’, Amme İdaresi Dergisi, Eylül 1998.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EREN, Erol, Örgütsel Davranış ve Yönetim Psikolojisi, 9.baskı, Beta yayınları, İstanbul.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Dilaver TENGİLİMOĞLU, ‘Kişilerarası Çatışma ve Çatışmayı Teşhis Modelleri’, Amme İdaresi Dergisi, Cilt 24, Sayı 2, Haziran 1991.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ERTEKİN, Yücel (1993), Stres ve Yönetim, TODAİE yayınları, Ankara. (3-23, 65-89).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YAYLACI ÖZDEMİR, Gaye, ‘Örgütsel Stresi Yönetmede Etkili Kişilerarası İletişim Stratejileri’, Amme İdaresi Dergisi, 38/2, Haziran 2005.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SOYER, Ata, ‘Stres ve İş’, Toplum ve Hekim Dergisi, Cilt 14, Sayı 2, Nisan 1999.</w:t>
            </w:r>
          </w:p>
        </w:tc>
      </w:tr>
      <w:tr w:rsidR="00047236" w:rsidTr="008C3629">
        <w:trPr>
          <w:trHeight w:val="66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Öğretim Yöntem ve Teknikleri:</w:t>
            </w:r>
          </w:p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52220" w:rsidRDefault="00182B70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Ders yöntemi olarak, anlatım, soru-yanıt, tartışma ve örnek olay kullanılmaktadır. Ders teknikleri olarak, beyin fırtınası, görüş geliştirme ve bilimsel tartışma kullanılmaktadır.</w:t>
            </w:r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Dersin Öğrenim Çıktıları:</w:t>
            </w:r>
          </w:p>
        </w:tc>
      </w:tr>
      <w:tr w:rsidR="00047236" w:rsidTr="008C3629">
        <w:trPr>
          <w:trHeight w:val="48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182B70">
            <w:pPr>
              <w:spacing w:after="2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Örgüt kavramının sosyolojik bir perspekt</w:t>
            </w:r>
            <w:r w:rsidR="00182B70">
              <w:rPr>
                <w:rFonts w:ascii="Arial" w:hAnsi="Arial" w:cs="Arial"/>
                <w:sz w:val="20"/>
                <w:szCs w:val="20"/>
              </w:rPr>
              <w:t>ifte değerlendirerek iletişim çalışmaları planlar.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182B70" w:rsidP="00182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 Örgüt kuramları çerçevesinde iletişim yapılarını analiz eder. 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182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 Örgüt</w:t>
            </w:r>
            <w:r w:rsidR="00182B70">
              <w:rPr>
                <w:rFonts w:ascii="Arial" w:hAnsi="Arial" w:cs="Arial"/>
                <w:sz w:val="20"/>
                <w:szCs w:val="20"/>
              </w:rPr>
              <w:t xml:space="preserve"> kültürü ve iklimi oluşturmak için çalışmalar yapabilir.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182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Örgüt </w:t>
            </w:r>
            <w:r w:rsidR="00182B70">
              <w:rPr>
                <w:rFonts w:ascii="Arial" w:hAnsi="Arial" w:cs="Arial"/>
                <w:sz w:val="20"/>
                <w:szCs w:val="20"/>
              </w:rPr>
              <w:t>kavramındaki değişimler çerçevesinde yeni iletişim modelleri uygular.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Örgütlerde değişime direncin nedenlerini </w:t>
            </w:r>
            <w:r w:rsidR="00182B70">
              <w:rPr>
                <w:rFonts w:ascii="Arial" w:hAnsi="Arial" w:cs="Arial"/>
                <w:sz w:val="20"/>
                <w:szCs w:val="20"/>
              </w:rPr>
              <w:t>bulur ve üstesinden gelmek için stratejiler geliştirir.</w:t>
            </w:r>
          </w:p>
        </w:tc>
      </w:tr>
      <w:tr w:rsidR="00047236" w:rsidTr="008C3629">
        <w:trPr>
          <w:trHeight w:val="1226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6" w:rsidRDefault="00047236" w:rsidP="008C3629">
            <w:pPr>
              <w:pStyle w:val="GvdeMetni"/>
              <w:widowControl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Dersin Alan Öğretimini Sağlamaya Yönelik Katkısı:</w:t>
            </w:r>
          </w:p>
          <w:p w:rsidR="00047236" w:rsidRDefault="00047236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 dersi alan öğrenci alanıyla ilgili kavramları ve kavramlar arası ilişkileri kavrayabilir.</w:t>
            </w:r>
            <w:r w:rsidR="00182B70">
              <w:rPr>
                <w:rFonts w:ascii="Arial" w:hAnsi="Arial" w:cs="Arial"/>
                <w:sz w:val="20"/>
                <w:szCs w:val="20"/>
              </w:rPr>
              <w:t xml:space="preserve"> “Örgüt”, halkla ilişkilerin temel öznesi olduğu için bu konudaki kuramsal çerçeve ve değişimleri analiz edebilmek, uygun halkla ilişkiler stratejileri geliştirilmesi açısından önem taşımaktadır. </w:t>
            </w:r>
          </w:p>
          <w:p w:rsidR="00047236" w:rsidRDefault="00047236" w:rsidP="008C3629"/>
        </w:tc>
      </w:tr>
      <w:tr w:rsidR="00047236" w:rsidTr="008C3629">
        <w:trPr>
          <w:trHeight w:val="841"/>
        </w:trPr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Öğrenim Çıktılarının Program Çıktıları İle Olan İlişkileri: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Kazanımların ilgili olduğu program yeterliklerini karşılama derecesi</w:t>
            </w:r>
          </w:p>
          <w:p w:rsidR="00047236" w:rsidRDefault="00047236" w:rsidP="008C3629">
            <w:pPr>
              <w:pStyle w:val="GvdeMetni"/>
              <w:widowControl w:val="0"/>
              <w:spacing w:after="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KATKI DÜZEYİ</w:t>
            </w:r>
          </w:p>
        </w:tc>
      </w:tr>
      <w:tr w:rsidR="00047236" w:rsidTr="008C3629">
        <w:trPr>
          <w:trHeight w:val="397"/>
        </w:trPr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47236" w:rsidTr="008C3629">
        <w:trPr>
          <w:trHeight w:val="397"/>
        </w:trPr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6" w:rsidRDefault="001F7C24" w:rsidP="008C36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t>PY3: Halkla ilişkiler ve reklamcılığın pazarlama, tasarım, kamusal ilişkiler, kurumsal iletişim, sağlık iletişimi, kamu diplomasisi, kurumsal sosyal sorumluluk, imaj yönetimi, kurumsal itibar yönetimi, kriz ve konu/sorun yönetimi, kampanya yönetimi, siyasal ve örgütsel iletişim gibi alanlarla ilişkisini açıklar.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1F7C24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7236" w:rsidTr="008C3629">
        <w:trPr>
          <w:trHeight w:val="397"/>
        </w:trPr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6" w:rsidRDefault="001F7C24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t>PY13: İletişim ve medya alanıyla ilgili olay ve olguları kavramsallaştırma ve analiz etme becerisine sahip olur; kanıtlara ve araştırmalara dayalı çözüm önerileri geliştirebilir.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1F7C24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7236" w:rsidTr="008C3629">
        <w:trPr>
          <w:trHeight w:val="397"/>
        </w:trPr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36" w:rsidRDefault="001F7C24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t>PY18: Örgüt, hedef kitle ve medya profesyonelleri arasında hakkaniyetli bir mesafeden ve bütünlüklü bir yaklaşımla etik ilkeleri gözetir.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36" w:rsidRDefault="00047236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1F7C24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36" w:rsidRDefault="00047236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Hazırlayan Kişi(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t xml:space="preserve">Nuran Yıldız </w:t>
            </w:r>
          </w:p>
        </w:tc>
      </w:tr>
      <w:tr w:rsidR="00047236" w:rsidTr="008C3629">
        <w:trPr>
          <w:trHeight w:val="397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Hazırlanma Tarihi:  </w:t>
            </w:r>
            <w:r w:rsidR="001F7C24">
              <w:rPr>
                <w:rFonts w:ascii="Arial" w:hAnsi="Arial" w:cs="Arial"/>
                <w:sz w:val="20"/>
                <w:szCs w:val="20"/>
              </w:rPr>
              <w:t>19.06.2020</w:t>
            </w:r>
            <w:bookmarkStart w:id="0" w:name="_GoBack"/>
            <w:bookmarkEnd w:id="0"/>
          </w:p>
        </w:tc>
      </w:tr>
      <w:tr w:rsidR="00047236" w:rsidTr="008C3629">
        <w:trPr>
          <w:trHeight w:val="425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36" w:rsidRDefault="00047236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Belirtmeyi Gerekli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Gördüğünüz  Diğer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Hususlar:</w:t>
            </w:r>
          </w:p>
        </w:tc>
      </w:tr>
      <w:tr w:rsidR="00047236" w:rsidTr="008C3629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236" w:rsidRDefault="00047236" w:rsidP="008C3629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047236" w:rsidRDefault="00047236" w:rsidP="00047236">
      <w:pPr>
        <w:tabs>
          <w:tab w:val="left" w:pos="2011"/>
        </w:tabs>
        <w:rPr>
          <w:rFonts w:ascii="Arial" w:hAnsi="Arial" w:cs="Arial"/>
        </w:rPr>
      </w:pPr>
    </w:p>
    <w:p w:rsidR="00047236" w:rsidRDefault="00047236" w:rsidP="00047236">
      <w:pPr>
        <w:rPr>
          <w:b/>
        </w:rPr>
      </w:pPr>
    </w:p>
    <w:p w:rsidR="00047236" w:rsidRDefault="00047236" w:rsidP="00047236"/>
    <w:p w:rsidR="00BA5077" w:rsidRDefault="001F7C24"/>
    <w:sectPr w:rsidR="00BA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8EB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36"/>
    <w:rsid w:val="00047236"/>
    <w:rsid w:val="00182B70"/>
    <w:rsid w:val="001F7C24"/>
    <w:rsid w:val="00452220"/>
    <w:rsid w:val="006A2EAE"/>
    <w:rsid w:val="00700FAB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6666"/>
  <w15:chartTrackingRefBased/>
  <w15:docId w15:val="{7F5C02E7-7BEA-4844-8159-1C5AA46E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2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4723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4723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47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SDESTICI</dc:creator>
  <cp:keywords/>
  <dc:description/>
  <cp:lastModifiedBy>ilaum</cp:lastModifiedBy>
  <cp:revision>5</cp:revision>
  <dcterms:created xsi:type="dcterms:W3CDTF">2020-06-19T09:43:00Z</dcterms:created>
  <dcterms:modified xsi:type="dcterms:W3CDTF">2020-06-19T11:44:00Z</dcterms:modified>
</cp:coreProperties>
</file>