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D7" w:rsidRDefault="00DB59D7" w:rsidP="00DB59D7">
      <w:pPr>
        <w:spacing w:line="305" w:lineRule="auto"/>
        <w:ind w:firstLine="284"/>
        <w:jc w:val="both"/>
        <w:rPr>
          <w:rFonts w:ascii="Times New Roman" w:eastAsia="Times New Roman" w:hAnsi="Times New Roman"/>
          <w:sz w:val="21"/>
        </w:rPr>
      </w:pPr>
      <w:r>
        <w:rPr>
          <w:rFonts w:ascii="Times New Roman" w:eastAsia="Times New Roman" w:hAnsi="Times New Roman"/>
          <w:sz w:val="21"/>
        </w:rPr>
        <w:t>Bilinen klasik Zâhirî literatürün neredeyse tamamını İbn Hazm’ın eserleri oluşturmaktadır. Bu durum, ilk bakışta İbn Hazm’ın Zâhirîliği öncekilerden sadece bir düşünce ya da bir prensip olarak alıp, bu düşünceyi fıkhın hatta şer’î ilimlerin tamamına uyguladığı, yani bir prensibi geniş kapsamlı bir mezhebe dönüştürdüğü şeklinde bir kanaat oluşturmaktadır. Ancak Dâvûd b. Alî’nin Zâhirî mezhebine dair çok sayıda eser yazmış olması,</w:t>
      </w:r>
      <w:r>
        <w:rPr>
          <w:rFonts w:ascii="Times New Roman" w:eastAsia="Times New Roman" w:hAnsi="Times New Roman"/>
          <w:sz w:val="12"/>
        </w:rPr>
        <w:t>20</w:t>
      </w:r>
      <w:r>
        <w:rPr>
          <w:rFonts w:ascii="Times New Roman" w:eastAsia="Times New Roman" w:hAnsi="Times New Roman"/>
          <w:sz w:val="21"/>
        </w:rPr>
        <w:t xml:space="preserve"> Zâhirî mezhebinin İbn Hazm’dan önce sadece bir prensipten ibaret olmadığını, aksine Dâvûd</w:t>
      </w:r>
    </w:p>
    <w:p w:rsidR="00DB59D7" w:rsidRDefault="00DB59D7" w:rsidP="00DB59D7">
      <w:pPr>
        <w:spacing w:line="20" w:lineRule="exact"/>
        <w:rPr>
          <w:rFonts w:ascii="Times New Roman" w:eastAsia="Times New Roman" w:hAnsi="Times New Roman"/>
        </w:rPr>
      </w:pPr>
      <w:r>
        <w:rPr>
          <w:rFonts w:ascii="Times New Roman" w:eastAsia="Times New Roman" w:hAnsi="Times New Roman"/>
          <w:sz w:val="21"/>
        </w:rPr>
        <w:pict>
          <v:line id="_x0000_s1026" style="position:absolute;z-index:-251656192" from=".15pt,14.8pt" to="141.9pt,14.8pt" o:userdrawn="t" strokeweight=".25pt"/>
        </w:pict>
      </w:r>
    </w:p>
    <w:p w:rsidR="00DB59D7" w:rsidRDefault="00DB59D7" w:rsidP="00DB59D7">
      <w:pPr>
        <w:spacing w:line="306" w:lineRule="exact"/>
        <w:rPr>
          <w:rFonts w:ascii="Times New Roman" w:eastAsia="Times New Roman" w:hAnsi="Times New Roman"/>
        </w:rPr>
      </w:pPr>
    </w:p>
    <w:p w:rsidR="00DB59D7" w:rsidRDefault="00DB59D7" w:rsidP="00DB59D7">
      <w:pPr>
        <w:spacing w:line="262" w:lineRule="auto"/>
        <w:ind w:left="240" w:hanging="226"/>
        <w:jc w:val="both"/>
        <w:rPr>
          <w:rFonts w:ascii="Times New Roman" w:eastAsia="Times New Roman" w:hAnsi="Times New Roman"/>
          <w:sz w:val="16"/>
        </w:rPr>
      </w:pPr>
      <w:r>
        <w:rPr>
          <w:rFonts w:ascii="Times New Roman" w:eastAsia="Times New Roman" w:hAnsi="Times New Roman"/>
          <w:sz w:val="16"/>
        </w:rPr>
        <w:t xml:space="preserve">15 Bkz: Şemsuddîn Muhammed b. Ahmed b. Osman ez-Zehebî, </w:t>
      </w:r>
      <w:r>
        <w:rPr>
          <w:rFonts w:ascii="Times New Roman" w:eastAsia="Times New Roman" w:hAnsi="Times New Roman"/>
          <w:i/>
          <w:sz w:val="16"/>
        </w:rPr>
        <w:t>Nüzhetü’l-Fudalâ Tehzibu Siyeri</w:t>
      </w:r>
      <w:r>
        <w:rPr>
          <w:rFonts w:ascii="Times New Roman" w:eastAsia="Times New Roman" w:hAnsi="Times New Roman"/>
          <w:sz w:val="16"/>
        </w:rPr>
        <w:t xml:space="preserve"> </w:t>
      </w:r>
      <w:r>
        <w:rPr>
          <w:rFonts w:ascii="Times New Roman" w:eastAsia="Times New Roman" w:hAnsi="Times New Roman"/>
          <w:i/>
          <w:sz w:val="16"/>
        </w:rPr>
        <w:t>A’lâmi’n-Nübelâ</w:t>
      </w:r>
      <w:r>
        <w:rPr>
          <w:rFonts w:ascii="Times New Roman" w:eastAsia="Times New Roman" w:hAnsi="Times New Roman"/>
          <w:sz w:val="16"/>
        </w:rPr>
        <w:t>, Dâru’l-Endelüs li’n-Neşr ve’t-Tevzî’, Cidde (t.y), II/947.</w:t>
      </w:r>
    </w:p>
    <w:p w:rsidR="00DB59D7" w:rsidRDefault="00DB59D7" w:rsidP="00DB59D7">
      <w:pPr>
        <w:spacing w:line="1" w:lineRule="exact"/>
        <w:rPr>
          <w:rFonts w:ascii="Times New Roman" w:eastAsia="Times New Roman" w:hAnsi="Times New Roman"/>
        </w:rPr>
      </w:pPr>
    </w:p>
    <w:p w:rsidR="00DB59D7" w:rsidRDefault="00DB59D7" w:rsidP="00DB59D7">
      <w:pPr>
        <w:numPr>
          <w:ilvl w:val="0"/>
          <w:numId w:val="9"/>
        </w:numPr>
        <w:tabs>
          <w:tab w:val="left" w:pos="240"/>
        </w:tabs>
        <w:spacing w:line="250" w:lineRule="auto"/>
        <w:ind w:left="240" w:hanging="236"/>
        <w:jc w:val="both"/>
        <w:rPr>
          <w:rFonts w:ascii="Times New Roman" w:eastAsia="Times New Roman" w:hAnsi="Times New Roman"/>
          <w:sz w:val="16"/>
        </w:rPr>
      </w:pPr>
      <w:r>
        <w:rPr>
          <w:rFonts w:ascii="Times New Roman" w:eastAsia="Times New Roman" w:hAnsi="Times New Roman"/>
          <w:sz w:val="16"/>
        </w:rPr>
        <w:t xml:space="preserve">Şihâbuddîn Ebu’l-Fadl Ahmed b. Alî İbn Hacer el-Askalânî, </w:t>
      </w:r>
      <w:r>
        <w:rPr>
          <w:rFonts w:ascii="Times New Roman" w:eastAsia="Times New Roman" w:hAnsi="Times New Roman"/>
          <w:i/>
          <w:sz w:val="16"/>
        </w:rPr>
        <w:t>Lisânü’l-Mîzân</w:t>
      </w:r>
      <w:r>
        <w:rPr>
          <w:rFonts w:ascii="Times New Roman" w:eastAsia="Times New Roman" w:hAnsi="Times New Roman"/>
          <w:sz w:val="16"/>
        </w:rPr>
        <w:t xml:space="preserve">, Mektebu’l-Matbûâti’l-İslâmiyye, (b.y), (t.y), III/405; Zehebî, </w:t>
      </w:r>
      <w:r>
        <w:rPr>
          <w:rFonts w:ascii="Times New Roman" w:eastAsia="Times New Roman" w:hAnsi="Times New Roman"/>
          <w:i/>
          <w:sz w:val="16"/>
        </w:rPr>
        <w:t>Mîzânü’l-İ’tidâl</w:t>
      </w:r>
      <w:r>
        <w:rPr>
          <w:rFonts w:ascii="Times New Roman" w:eastAsia="Times New Roman" w:hAnsi="Times New Roman"/>
          <w:sz w:val="16"/>
        </w:rPr>
        <w:t xml:space="preserve">, III/21; Hatîb el-Bağdâdî, IX/347; Ahmed Emîn, </w:t>
      </w:r>
      <w:r>
        <w:rPr>
          <w:rFonts w:ascii="Times New Roman" w:eastAsia="Times New Roman" w:hAnsi="Times New Roman"/>
          <w:i/>
          <w:sz w:val="16"/>
        </w:rPr>
        <w:t>Duha’l-İslâm</w:t>
      </w:r>
      <w:r>
        <w:rPr>
          <w:rFonts w:ascii="Times New Roman" w:eastAsia="Times New Roman" w:hAnsi="Times New Roman"/>
          <w:sz w:val="16"/>
        </w:rPr>
        <w:t xml:space="preserve">, II/236; Tâcuddîn Ebû Nasr Abdülvehhâb b. Alî b. Abdilkâfî es-Sübkî, </w:t>
      </w:r>
      <w:r>
        <w:rPr>
          <w:rFonts w:ascii="Times New Roman" w:eastAsia="Times New Roman" w:hAnsi="Times New Roman"/>
          <w:i/>
          <w:sz w:val="16"/>
        </w:rPr>
        <w:t>Tabakâtü’ş-Şâfiîyyeti’l-Kübrâ</w:t>
      </w:r>
      <w:r>
        <w:rPr>
          <w:rFonts w:ascii="Times New Roman" w:eastAsia="Times New Roman" w:hAnsi="Times New Roman"/>
          <w:sz w:val="16"/>
        </w:rPr>
        <w:t>, Matbaatü Îsâ el-Bâbî el-Halebî ve</w:t>
      </w:r>
      <w:r>
        <w:rPr>
          <w:rFonts w:ascii="Times New Roman" w:eastAsia="Times New Roman" w:hAnsi="Times New Roman"/>
          <w:i/>
          <w:sz w:val="16"/>
        </w:rPr>
        <w:t xml:space="preserve"> </w:t>
      </w:r>
      <w:r>
        <w:rPr>
          <w:rFonts w:ascii="Times New Roman" w:eastAsia="Times New Roman" w:hAnsi="Times New Roman"/>
          <w:sz w:val="16"/>
        </w:rPr>
        <w:t>Şürekâh, (b.y.) 1964, II/284.</w:t>
      </w:r>
    </w:p>
    <w:p w:rsidR="00DB59D7" w:rsidRDefault="00DB59D7" w:rsidP="00DB59D7">
      <w:pPr>
        <w:spacing w:line="1" w:lineRule="exact"/>
        <w:rPr>
          <w:rFonts w:ascii="Times New Roman" w:eastAsia="Times New Roman" w:hAnsi="Times New Roman"/>
          <w:sz w:val="16"/>
        </w:rPr>
      </w:pPr>
    </w:p>
    <w:p w:rsidR="00DB59D7" w:rsidRDefault="00DB59D7" w:rsidP="00DB59D7">
      <w:pPr>
        <w:spacing w:line="0" w:lineRule="atLeast"/>
        <w:ind w:left="240"/>
        <w:rPr>
          <w:rFonts w:ascii="Times New Roman" w:eastAsia="Times New Roman" w:hAnsi="Times New Roman"/>
          <w:sz w:val="16"/>
        </w:rPr>
      </w:pPr>
      <w:r>
        <w:rPr>
          <w:rFonts w:ascii="Times New Roman" w:eastAsia="Times New Roman" w:hAnsi="Times New Roman"/>
          <w:sz w:val="16"/>
        </w:rPr>
        <w:t>Ziriklî Dâvûd b. Ali’nin doğum yılını  201h. olarak vermektedir. (Bkz: A’lâm II/333.) İbnü’l-Esîr ve</w:t>
      </w:r>
    </w:p>
    <w:p w:rsidR="00DB59D7" w:rsidRDefault="00DB59D7" w:rsidP="00DB59D7">
      <w:pPr>
        <w:spacing w:line="8" w:lineRule="exact"/>
        <w:rPr>
          <w:rFonts w:ascii="Times New Roman" w:eastAsia="Times New Roman" w:hAnsi="Times New Roman"/>
          <w:sz w:val="16"/>
        </w:rPr>
      </w:pPr>
    </w:p>
    <w:p w:rsidR="00DB59D7" w:rsidRDefault="00DB59D7" w:rsidP="00DB59D7">
      <w:pPr>
        <w:spacing w:line="267" w:lineRule="auto"/>
        <w:ind w:left="240"/>
        <w:jc w:val="both"/>
        <w:rPr>
          <w:rFonts w:ascii="Times New Roman" w:eastAsia="Times New Roman" w:hAnsi="Times New Roman"/>
          <w:sz w:val="15"/>
        </w:rPr>
      </w:pPr>
      <w:r>
        <w:rPr>
          <w:rFonts w:ascii="Times New Roman" w:eastAsia="Times New Roman" w:hAnsi="Times New Roman"/>
          <w:sz w:val="15"/>
        </w:rPr>
        <w:t xml:space="preserve">Bağdatlı İsmâil Paşa ise Dâvûd’un 202h. yılında doğduğunu söylemektedir. (Bkz: İbnü’l-Esîr Ebu’l-Hasen Alî b. Ebi’l-Kerem Muhammed b. Muhammed b. Abdilkerîm b.Abdilvâhid eş-Şeybânî, </w:t>
      </w:r>
      <w:r>
        <w:rPr>
          <w:rFonts w:ascii="Times New Roman" w:eastAsia="Times New Roman" w:hAnsi="Times New Roman"/>
          <w:i/>
          <w:sz w:val="15"/>
        </w:rPr>
        <w:t>el-Kâmil</w:t>
      </w:r>
      <w:r>
        <w:rPr>
          <w:rFonts w:ascii="Times New Roman" w:eastAsia="Times New Roman" w:hAnsi="Times New Roman"/>
          <w:sz w:val="15"/>
        </w:rPr>
        <w:t xml:space="preserve"> </w:t>
      </w:r>
      <w:r>
        <w:rPr>
          <w:rFonts w:ascii="Times New Roman" w:eastAsia="Times New Roman" w:hAnsi="Times New Roman"/>
          <w:i/>
          <w:sz w:val="15"/>
        </w:rPr>
        <w:t>fi’t-Târih</w:t>
      </w:r>
      <w:r>
        <w:rPr>
          <w:rFonts w:ascii="Times New Roman" w:eastAsia="Times New Roman" w:hAnsi="Times New Roman"/>
          <w:sz w:val="15"/>
        </w:rPr>
        <w:t>, Dâru’l-Kütübi’l-İlmiyye, Beyrût 2003, VI/339;</w:t>
      </w:r>
      <w:r>
        <w:rPr>
          <w:rFonts w:ascii="Times New Roman" w:eastAsia="Times New Roman" w:hAnsi="Times New Roman"/>
          <w:i/>
          <w:sz w:val="15"/>
        </w:rPr>
        <w:t xml:space="preserve"> </w:t>
      </w:r>
      <w:r>
        <w:rPr>
          <w:rFonts w:ascii="Times New Roman" w:eastAsia="Times New Roman" w:hAnsi="Times New Roman"/>
          <w:sz w:val="15"/>
        </w:rPr>
        <w:t>İsmâîl Başâ,</w:t>
      </w:r>
      <w:r>
        <w:rPr>
          <w:rFonts w:ascii="Times New Roman" w:eastAsia="Times New Roman" w:hAnsi="Times New Roman"/>
          <w:i/>
          <w:sz w:val="15"/>
        </w:rPr>
        <w:t xml:space="preserve"> Hediyyetü’l-Ârifîn</w:t>
      </w:r>
      <w:r>
        <w:rPr>
          <w:rFonts w:ascii="Times New Roman" w:eastAsia="Times New Roman" w:hAnsi="Times New Roman"/>
          <w:sz w:val="15"/>
        </w:rPr>
        <w:t>, I/359.)</w:t>
      </w:r>
      <w:r>
        <w:rPr>
          <w:rFonts w:ascii="Times New Roman" w:eastAsia="Times New Roman" w:hAnsi="Times New Roman"/>
          <w:i/>
          <w:sz w:val="15"/>
        </w:rPr>
        <w:t xml:space="preserve"> </w:t>
      </w:r>
      <w:r>
        <w:rPr>
          <w:rFonts w:ascii="Times New Roman" w:eastAsia="Times New Roman" w:hAnsi="Times New Roman"/>
          <w:sz w:val="15"/>
        </w:rPr>
        <w:t xml:space="preserve">Zehebî, </w:t>
      </w:r>
      <w:r>
        <w:rPr>
          <w:rFonts w:ascii="Times New Roman" w:eastAsia="Times New Roman" w:hAnsi="Times New Roman"/>
          <w:i/>
          <w:sz w:val="15"/>
        </w:rPr>
        <w:t>Mîzânü’l-İ’tidâl</w:t>
      </w:r>
      <w:r>
        <w:rPr>
          <w:rFonts w:ascii="Times New Roman" w:eastAsia="Times New Roman" w:hAnsi="Times New Roman"/>
          <w:sz w:val="15"/>
        </w:rPr>
        <w:t xml:space="preserve">’de (III/21) verdiği tarihten çok farklı olarak </w:t>
      </w:r>
      <w:r>
        <w:rPr>
          <w:rFonts w:ascii="Times New Roman" w:eastAsia="Times New Roman" w:hAnsi="Times New Roman"/>
          <w:i/>
          <w:sz w:val="15"/>
        </w:rPr>
        <w:t>Târihu’l-İslâm</w:t>
      </w:r>
      <w:r>
        <w:rPr>
          <w:rFonts w:ascii="Times New Roman" w:eastAsia="Times New Roman" w:hAnsi="Times New Roman"/>
          <w:sz w:val="15"/>
        </w:rPr>
        <w:t>’da (XX/90.) Dâvûd b. Alî’nin doğum tarihini 80 olarak vermektedir. Bu ikinci tarihte bir yanlışlık olduğu aşikardır.</w:t>
      </w:r>
    </w:p>
    <w:p w:rsidR="00DB59D7" w:rsidRDefault="00DB59D7" w:rsidP="00DB59D7">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İsfehân’da doğduğunu söyleyenler de vardır. (Ahmed Emîn, </w:t>
      </w:r>
      <w:r>
        <w:rPr>
          <w:rFonts w:ascii="Times New Roman" w:eastAsia="Times New Roman" w:hAnsi="Times New Roman"/>
          <w:i/>
          <w:sz w:val="16"/>
        </w:rPr>
        <w:t>Duha’l-İslâm</w:t>
      </w:r>
      <w:r>
        <w:rPr>
          <w:rFonts w:ascii="Times New Roman" w:eastAsia="Times New Roman" w:hAnsi="Times New Roman"/>
          <w:sz w:val="16"/>
        </w:rPr>
        <w:t>, II/236.)</w:t>
      </w:r>
    </w:p>
    <w:p w:rsidR="00DB59D7" w:rsidRDefault="00DB59D7" w:rsidP="00DB59D7">
      <w:pPr>
        <w:spacing w:line="8" w:lineRule="exact"/>
        <w:rPr>
          <w:rFonts w:ascii="Times New Roman" w:eastAsia="Times New Roman" w:hAnsi="Times New Roman"/>
          <w:sz w:val="16"/>
        </w:rPr>
      </w:pPr>
    </w:p>
    <w:p w:rsidR="00DB59D7" w:rsidRDefault="00DB59D7" w:rsidP="00DB59D7">
      <w:pPr>
        <w:numPr>
          <w:ilvl w:val="0"/>
          <w:numId w:val="9"/>
        </w:numPr>
        <w:tabs>
          <w:tab w:val="left" w:pos="240"/>
        </w:tabs>
        <w:spacing w:line="250" w:lineRule="auto"/>
        <w:ind w:left="240" w:hanging="236"/>
        <w:jc w:val="both"/>
        <w:rPr>
          <w:rFonts w:ascii="Times New Roman" w:eastAsia="Times New Roman" w:hAnsi="Times New Roman"/>
          <w:sz w:val="16"/>
        </w:rPr>
      </w:pPr>
      <w:r>
        <w:rPr>
          <w:rFonts w:ascii="Times New Roman" w:eastAsia="Times New Roman" w:hAnsi="Times New Roman"/>
          <w:sz w:val="16"/>
        </w:rPr>
        <w:t xml:space="preserve">İbn Kesîr, XIV/137; Hatîb el-Bağdâdî, IX/342; Salâhuddîn Halîl b. Aybek es-Safedî, </w:t>
      </w:r>
      <w:r>
        <w:rPr>
          <w:rFonts w:ascii="Times New Roman" w:eastAsia="Times New Roman" w:hAnsi="Times New Roman"/>
          <w:i/>
          <w:sz w:val="16"/>
        </w:rPr>
        <w:t>el-Vâfî</w:t>
      </w:r>
      <w:r>
        <w:rPr>
          <w:rFonts w:ascii="Times New Roman" w:eastAsia="Times New Roman" w:hAnsi="Times New Roman"/>
          <w:sz w:val="16"/>
        </w:rPr>
        <w:t xml:space="preserve"> </w:t>
      </w:r>
      <w:r>
        <w:rPr>
          <w:rFonts w:ascii="Times New Roman" w:eastAsia="Times New Roman" w:hAnsi="Times New Roman"/>
          <w:i/>
          <w:sz w:val="16"/>
        </w:rPr>
        <w:t>bi’l-Vefeyât</w:t>
      </w:r>
      <w:r>
        <w:rPr>
          <w:rFonts w:ascii="Times New Roman" w:eastAsia="Times New Roman" w:hAnsi="Times New Roman"/>
          <w:sz w:val="16"/>
        </w:rPr>
        <w:t>, Dâru</w:t>
      </w:r>
      <w:r>
        <w:rPr>
          <w:rFonts w:ascii="Times New Roman" w:eastAsia="Times New Roman" w:hAnsi="Times New Roman"/>
          <w:i/>
          <w:sz w:val="16"/>
        </w:rPr>
        <w:t xml:space="preserve"> </w:t>
      </w:r>
      <w:r>
        <w:rPr>
          <w:rFonts w:ascii="Times New Roman" w:eastAsia="Times New Roman" w:hAnsi="Times New Roman"/>
          <w:sz w:val="16"/>
        </w:rPr>
        <w:t>İhyâi’t-Türâsi’l-Arabî, Beyrût 2000., XIII/297;</w:t>
      </w:r>
      <w:r>
        <w:rPr>
          <w:rFonts w:ascii="Times New Roman" w:eastAsia="Times New Roman" w:hAnsi="Times New Roman"/>
          <w:i/>
          <w:sz w:val="16"/>
        </w:rPr>
        <w:t xml:space="preserve"> </w:t>
      </w:r>
      <w:r>
        <w:rPr>
          <w:rFonts w:ascii="Times New Roman" w:eastAsia="Times New Roman" w:hAnsi="Times New Roman"/>
          <w:sz w:val="16"/>
        </w:rPr>
        <w:t>İbn Hacer,</w:t>
      </w:r>
      <w:r>
        <w:rPr>
          <w:rFonts w:ascii="Times New Roman" w:eastAsia="Times New Roman" w:hAnsi="Times New Roman"/>
          <w:i/>
          <w:sz w:val="16"/>
        </w:rPr>
        <w:t xml:space="preserve"> Lisânü’l-Mîzân</w:t>
      </w:r>
      <w:r>
        <w:rPr>
          <w:rFonts w:ascii="Times New Roman" w:eastAsia="Times New Roman" w:hAnsi="Times New Roman"/>
          <w:sz w:val="16"/>
        </w:rPr>
        <w:t>, III/405;</w:t>
      </w:r>
      <w:r>
        <w:rPr>
          <w:rFonts w:ascii="Times New Roman" w:eastAsia="Times New Roman" w:hAnsi="Times New Roman"/>
          <w:i/>
          <w:sz w:val="16"/>
        </w:rPr>
        <w:t xml:space="preserve"> </w:t>
      </w:r>
      <w:r>
        <w:rPr>
          <w:rFonts w:ascii="Times New Roman" w:eastAsia="Times New Roman" w:hAnsi="Times New Roman"/>
          <w:sz w:val="16"/>
        </w:rPr>
        <w:t xml:space="preserve">Zehebî, </w:t>
      </w:r>
      <w:r>
        <w:rPr>
          <w:rFonts w:ascii="Times New Roman" w:eastAsia="Times New Roman" w:hAnsi="Times New Roman"/>
          <w:i/>
          <w:sz w:val="16"/>
        </w:rPr>
        <w:t>Mîzânü’l-İ’tidâl</w:t>
      </w:r>
      <w:r>
        <w:rPr>
          <w:rFonts w:ascii="Times New Roman" w:eastAsia="Times New Roman" w:hAnsi="Times New Roman"/>
          <w:sz w:val="16"/>
        </w:rPr>
        <w:t>, III/26; Sübkî, II/284.</w:t>
      </w:r>
    </w:p>
    <w:p w:rsidR="00DB59D7" w:rsidRDefault="00DB59D7" w:rsidP="00DB59D7">
      <w:pPr>
        <w:spacing w:line="1" w:lineRule="exact"/>
        <w:rPr>
          <w:rFonts w:ascii="Times New Roman" w:eastAsia="Times New Roman" w:hAnsi="Times New Roman"/>
          <w:sz w:val="16"/>
        </w:rPr>
      </w:pPr>
    </w:p>
    <w:p w:rsidR="00DB59D7" w:rsidRDefault="00DB59D7" w:rsidP="00DB59D7">
      <w:pPr>
        <w:numPr>
          <w:ilvl w:val="0"/>
          <w:numId w:val="9"/>
        </w:numPr>
        <w:tabs>
          <w:tab w:val="left" w:pos="240"/>
        </w:tabs>
        <w:spacing w:line="250" w:lineRule="auto"/>
        <w:ind w:left="240" w:hanging="236"/>
        <w:rPr>
          <w:rFonts w:ascii="Times New Roman" w:eastAsia="Times New Roman" w:hAnsi="Times New Roman"/>
          <w:sz w:val="16"/>
        </w:rPr>
      </w:pPr>
      <w:r>
        <w:rPr>
          <w:rFonts w:ascii="Times New Roman" w:eastAsia="Times New Roman" w:hAnsi="Times New Roman"/>
          <w:sz w:val="16"/>
        </w:rPr>
        <w:t xml:space="preserve">Şemsuddîn Muhammed b. Ahmed b. Osman, </w:t>
      </w:r>
      <w:r>
        <w:rPr>
          <w:rFonts w:ascii="Times New Roman" w:eastAsia="Times New Roman" w:hAnsi="Times New Roman"/>
          <w:i/>
          <w:sz w:val="16"/>
        </w:rPr>
        <w:t>Siyeru A’lâmi’n-Nübelâ</w:t>
      </w:r>
      <w:r>
        <w:rPr>
          <w:rFonts w:ascii="Times New Roman" w:eastAsia="Times New Roman" w:hAnsi="Times New Roman"/>
          <w:sz w:val="16"/>
        </w:rPr>
        <w:t>, Müessesetü’r-Risâle, Beyrût 1983</w:t>
      </w:r>
      <w:r>
        <w:rPr>
          <w:rFonts w:ascii="Times New Roman" w:eastAsia="Times New Roman" w:hAnsi="Times New Roman"/>
          <w:i/>
          <w:sz w:val="16"/>
        </w:rPr>
        <w:t>,</w:t>
      </w:r>
      <w:r>
        <w:rPr>
          <w:rFonts w:ascii="Times New Roman" w:eastAsia="Times New Roman" w:hAnsi="Times New Roman"/>
          <w:sz w:val="16"/>
        </w:rPr>
        <w:t xml:space="preserve"> XIII/98; Hatîb el-Bağdâdî, IX/342; Safedî, XIII/297.</w:t>
      </w:r>
    </w:p>
    <w:p w:rsidR="00DB59D7" w:rsidRDefault="00DB59D7" w:rsidP="00DB59D7">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Hacvî, III/23.</w:t>
      </w:r>
    </w:p>
    <w:p w:rsidR="00DB59D7" w:rsidRDefault="00DB59D7" w:rsidP="00DB59D7">
      <w:pPr>
        <w:tabs>
          <w:tab w:val="left" w:pos="240"/>
        </w:tabs>
        <w:spacing w:line="0" w:lineRule="atLeast"/>
        <w:ind w:left="240" w:hanging="236"/>
        <w:rPr>
          <w:rFonts w:ascii="Times New Roman" w:eastAsia="Times New Roman" w:hAnsi="Times New Roman"/>
          <w:sz w:val="16"/>
        </w:rPr>
        <w:sectPr w:rsidR="00DB59D7">
          <w:pgSz w:w="9240" w:h="13663"/>
          <w:pgMar w:top="1237" w:right="1141" w:bottom="699"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320"/>
        <w:gridCol w:w="1480"/>
      </w:tblGrid>
      <w:tr w:rsidR="00DB59D7" w:rsidTr="000C5968">
        <w:trPr>
          <w:trHeight w:val="234"/>
        </w:trPr>
        <w:tc>
          <w:tcPr>
            <w:tcW w:w="5320" w:type="dxa"/>
            <w:shd w:val="clear" w:color="auto" w:fill="auto"/>
            <w:vAlign w:val="bottom"/>
          </w:tcPr>
          <w:p w:rsidR="00DB59D7" w:rsidRDefault="00DB59D7" w:rsidP="000C5968">
            <w:pPr>
              <w:spacing w:line="0" w:lineRule="atLeast"/>
              <w:rPr>
                <w:rFonts w:ascii="Times New Roman" w:eastAsia="Times New Roman" w:hAnsi="Times New Roman"/>
                <w:i/>
                <w:sz w:val="14"/>
              </w:rPr>
            </w:pPr>
            <w:bookmarkStart w:id="0" w:name="page7"/>
            <w:bookmarkEnd w:id="0"/>
            <w:r>
              <w:rPr>
                <w:rFonts w:ascii="Times New Roman" w:eastAsia="Times New Roman" w:hAnsi="Times New Roman"/>
                <w:i/>
                <w:sz w:val="14"/>
              </w:rPr>
              <w:lastRenderedPageBreak/>
              <w:t>Kökeni Oluşumu ve Algılanışı Bakımından İbn Hazm Öncesinde Zâhirîlik</w:t>
            </w:r>
          </w:p>
        </w:tc>
        <w:tc>
          <w:tcPr>
            <w:tcW w:w="1480" w:type="dxa"/>
            <w:shd w:val="clear" w:color="auto" w:fill="auto"/>
            <w:vAlign w:val="bottom"/>
          </w:tcPr>
          <w:p w:rsidR="00DB59D7" w:rsidRDefault="00DB59D7" w:rsidP="000C5968">
            <w:pPr>
              <w:spacing w:line="0" w:lineRule="atLeast"/>
              <w:jc w:val="right"/>
              <w:rPr>
                <w:rFonts w:ascii="Times New Roman" w:eastAsia="Times New Roman" w:hAnsi="Times New Roman"/>
                <w:sz w:val="18"/>
              </w:rPr>
            </w:pPr>
            <w:r>
              <w:rPr>
                <w:rFonts w:ascii="Times New Roman" w:eastAsia="Times New Roman" w:hAnsi="Times New Roman"/>
                <w:sz w:val="18"/>
              </w:rPr>
              <w:t>143</w:t>
            </w:r>
          </w:p>
        </w:tc>
      </w:tr>
    </w:tbl>
    <w:p w:rsidR="00DB59D7" w:rsidRDefault="00DB59D7" w:rsidP="00DB59D7">
      <w:pPr>
        <w:spacing w:line="200" w:lineRule="exact"/>
        <w:rPr>
          <w:rFonts w:ascii="Times New Roman" w:eastAsia="Times New Roman" w:hAnsi="Times New Roman"/>
        </w:rPr>
      </w:pPr>
    </w:p>
    <w:p w:rsidR="00DB59D7" w:rsidRDefault="00DB59D7" w:rsidP="00DB59D7">
      <w:pPr>
        <w:spacing w:line="200" w:lineRule="exact"/>
        <w:rPr>
          <w:rFonts w:ascii="Times New Roman" w:eastAsia="Times New Roman" w:hAnsi="Times New Roman"/>
        </w:rPr>
      </w:pPr>
    </w:p>
    <w:p w:rsidR="00DB59D7" w:rsidRDefault="00DB59D7" w:rsidP="00DB59D7">
      <w:pPr>
        <w:spacing w:line="204" w:lineRule="exact"/>
        <w:rPr>
          <w:rFonts w:ascii="Times New Roman" w:eastAsia="Times New Roman" w:hAnsi="Times New Roman"/>
        </w:rPr>
      </w:pPr>
    </w:p>
    <w:p w:rsidR="00DB59D7" w:rsidRDefault="00DB59D7" w:rsidP="00DB59D7">
      <w:pPr>
        <w:spacing w:line="297" w:lineRule="auto"/>
        <w:ind w:left="6"/>
        <w:jc w:val="both"/>
        <w:rPr>
          <w:rFonts w:ascii="Times New Roman" w:eastAsia="Times New Roman" w:hAnsi="Times New Roman"/>
          <w:sz w:val="12"/>
        </w:rPr>
      </w:pPr>
      <w:r>
        <w:rPr>
          <w:rFonts w:ascii="Times New Roman" w:eastAsia="Times New Roman" w:hAnsi="Times New Roman"/>
          <w:sz w:val="21"/>
        </w:rPr>
        <w:t>b. Alî tarafından sistemli bir şekilde ele alınıp açıklandığını göstermektedir. Dâvûd’un bu eserleriyle Zâhirî mezhebini hem usûl hem de furûuyla kapsamlı bir şekilde ortaya koyduğu ifade edilmektedir.</w:t>
      </w:r>
      <w:r>
        <w:rPr>
          <w:rFonts w:ascii="Times New Roman" w:eastAsia="Times New Roman" w:hAnsi="Times New Roman"/>
          <w:sz w:val="12"/>
        </w:rPr>
        <w:t>21</w:t>
      </w:r>
      <w:r>
        <w:rPr>
          <w:rFonts w:ascii="Times New Roman" w:eastAsia="Times New Roman" w:hAnsi="Times New Roman"/>
          <w:sz w:val="21"/>
        </w:rPr>
        <w:t xml:space="preserve"> Dâvûd’un bütün telîfâtının on sekiz bin varak tuttuğu nakledilmektedir.</w:t>
      </w:r>
      <w:r>
        <w:rPr>
          <w:rFonts w:ascii="Times New Roman" w:eastAsia="Times New Roman" w:hAnsi="Times New Roman"/>
          <w:sz w:val="12"/>
        </w:rPr>
        <w:t>22</w:t>
      </w:r>
      <w:r>
        <w:rPr>
          <w:rFonts w:ascii="Times New Roman" w:eastAsia="Times New Roman" w:hAnsi="Times New Roman"/>
          <w:sz w:val="21"/>
        </w:rPr>
        <w:t xml:space="preserve"> Onun eserleri konusunda müra-caat edebileceğimiz en eski kaynak İbn Nedîm (ö. 385h./995m.)’in </w:t>
      </w:r>
      <w:r>
        <w:rPr>
          <w:rFonts w:ascii="Times New Roman" w:eastAsia="Times New Roman" w:hAnsi="Times New Roman"/>
          <w:i/>
          <w:sz w:val="21"/>
        </w:rPr>
        <w:t>el-Fihrist</w:t>
      </w:r>
      <w:r>
        <w:rPr>
          <w:rFonts w:ascii="Times New Roman" w:eastAsia="Times New Roman" w:hAnsi="Times New Roman"/>
          <w:sz w:val="21"/>
        </w:rPr>
        <w:t xml:space="preserve"> adlı eseridir. İbn Nedîm, Dâvûd’un </w:t>
      </w:r>
      <w:r>
        <w:rPr>
          <w:rFonts w:ascii="Times New Roman" w:eastAsia="Times New Roman" w:hAnsi="Times New Roman"/>
          <w:i/>
          <w:sz w:val="21"/>
        </w:rPr>
        <w:t>Kitâbu’l-Îdâh, Kitâbu’l-İfsâh</w:t>
      </w:r>
      <w:r>
        <w:rPr>
          <w:rFonts w:ascii="Times New Roman" w:eastAsia="Times New Roman" w:hAnsi="Times New Roman"/>
          <w:sz w:val="21"/>
        </w:rPr>
        <w:t xml:space="preserve"> ve </w:t>
      </w:r>
      <w:r>
        <w:rPr>
          <w:rFonts w:ascii="Times New Roman" w:eastAsia="Times New Roman" w:hAnsi="Times New Roman"/>
          <w:i/>
          <w:sz w:val="21"/>
        </w:rPr>
        <w:t xml:space="preserve">Kitâbu’d-Da’vâ ve’l-Beyânâti’l-Kebîr </w:t>
      </w:r>
      <w:r>
        <w:rPr>
          <w:rFonts w:ascii="Times New Roman" w:eastAsia="Times New Roman" w:hAnsi="Times New Roman"/>
          <w:sz w:val="21"/>
        </w:rPr>
        <w:t>adlarındaki kitapları</w:t>
      </w:r>
      <w:r>
        <w:rPr>
          <w:rFonts w:ascii="Times New Roman" w:eastAsia="Times New Roman" w:hAnsi="Times New Roman"/>
          <w:i/>
          <w:sz w:val="21"/>
        </w:rPr>
        <w:t xml:space="preserve"> </w:t>
      </w:r>
      <w:r>
        <w:rPr>
          <w:rFonts w:ascii="Times New Roman" w:eastAsia="Times New Roman" w:hAnsi="Times New Roman"/>
          <w:sz w:val="21"/>
        </w:rPr>
        <w:t xml:space="preserve">yanında ona ait onlarca baş-ka kitap adı saymaktadır. Bu kitaplardan sonra </w:t>
      </w:r>
      <w:r>
        <w:rPr>
          <w:rFonts w:ascii="Times New Roman" w:eastAsia="Times New Roman" w:hAnsi="Times New Roman"/>
          <w:i/>
          <w:sz w:val="21"/>
        </w:rPr>
        <w:t>Kitâbu’l-Hayd, Kitâbu’l-Ezân,</w:t>
      </w:r>
      <w:r>
        <w:rPr>
          <w:rFonts w:ascii="Times New Roman" w:eastAsia="Times New Roman" w:hAnsi="Times New Roman"/>
          <w:sz w:val="21"/>
        </w:rPr>
        <w:t xml:space="preserve"> </w:t>
      </w:r>
      <w:r>
        <w:rPr>
          <w:rFonts w:ascii="Times New Roman" w:eastAsia="Times New Roman" w:hAnsi="Times New Roman"/>
          <w:i/>
          <w:sz w:val="21"/>
        </w:rPr>
        <w:t xml:space="preserve">Kitâbu’s-Salâ </w:t>
      </w:r>
      <w:r>
        <w:rPr>
          <w:rFonts w:ascii="Times New Roman" w:eastAsia="Times New Roman" w:hAnsi="Times New Roman"/>
          <w:sz w:val="21"/>
        </w:rPr>
        <w:t>gibi bir çok kitâpdan bahsetmektedir.</w:t>
      </w:r>
      <w:r>
        <w:rPr>
          <w:rFonts w:ascii="Times New Roman" w:eastAsia="Times New Roman" w:hAnsi="Times New Roman"/>
          <w:sz w:val="12"/>
        </w:rPr>
        <w:t>23</w:t>
      </w:r>
      <w:r>
        <w:rPr>
          <w:rFonts w:ascii="Times New Roman" w:eastAsia="Times New Roman" w:hAnsi="Times New Roman"/>
          <w:i/>
          <w:sz w:val="21"/>
        </w:rPr>
        <w:t xml:space="preserve"> </w:t>
      </w:r>
      <w:r>
        <w:rPr>
          <w:rFonts w:ascii="Times New Roman" w:eastAsia="Times New Roman" w:hAnsi="Times New Roman"/>
          <w:sz w:val="21"/>
        </w:rPr>
        <w:t>Sayılan bu kitapların</w:t>
      </w:r>
      <w:r>
        <w:rPr>
          <w:rFonts w:ascii="Times New Roman" w:eastAsia="Times New Roman" w:hAnsi="Times New Roman"/>
          <w:i/>
          <w:sz w:val="21"/>
        </w:rPr>
        <w:t xml:space="preserve"> </w:t>
      </w:r>
      <w:r>
        <w:rPr>
          <w:rFonts w:ascii="Times New Roman" w:eastAsia="Times New Roman" w:hAnsi="Times New Roman"/>
          <w:sz w:val="21"/>
        </w:rPr>
        <w:t>adlarına bakıldığında, aslında kapsamlı bir furû-ı fıkıh kitabının bölümleri ol-duğu şeklinde bir kanaat oluşmaktadır. Zira burada bahsi geçen adlar/başlıklar furû ile ilgili kitaplarda genellikle birer bölüm (kitap) adı olarak yer almakta-dır. Ancak furû-ı fıkhın tedvininde bütün fıkıh konularını ihtiva eden ansik-lopedik eserlerin telifinden önceki dönemde, fıkhî konular hakkında müstakil eserler yazma adeti olduğundan bahsedilmekte ve Dâvûd’un bu eserleri de müstakil birer eser olarak değerlendirilmektedir.</w:t>
      </w:r>
      <w:r>
        <w:rPr>
          <w:rFonts w:ascii="Times New Roman" w:eastAsia="Times New Roman" w:hAnsi="Times New Roman"/>
          <w:sz w:val="12"/>
        </w:rPr>
        <w:t>24</w:t>
      </w:r>
    </w:p>
    <w:p w:rsidR="00DB59D7" w:rsidRDefault="00DB59D7" w:rsidP="00DB59D7">
      <w:pPr>
        <w:spacing w:line="15" w:lineRule="exact"/>
        <w:rPr>
          <w:rFonts w:ascii="Times New Roman" w:eastAsia="Times New Roman" w:hAnsi="Times New Roman"/>
        </w:rPr>
      </w:pPr>
    </w:p>
    <w:p w:rsidR="00DB59D7" w:rsidRDefault="00DB59D7" w:rsidP="00DB59D7">
      <w:pPr>
        <w:spacing w:line="302" w:lineRule="auto"/>
        <w:ind w:left="6" w:firstLine="284"/>
        <w:jc w:val="both"/>
        <w:rPr>
          <w:rFonts w:ascii="Times New Roman" w:eastAsia="Times New Roman" w:hAnsi="Times New Roman"/>
          <w:sz w:val="21"/>
        </w:rPr>
      </w:pPr>
      <w:r>
        <w:rPr>
          <w:rFonts w:ascii="Times New Roman" w:eastAsia="Times New Roman" w:hAnsi="Times New Roman"/>
          <w:sz w:val="21"/>
        </w:rPr>
        <w:t xml:space="preserve">Dâvûd b. Alî’nin usûle dair eserleri arasında ise </w:t>
      </w:r>
      <w:r>
        <w:rPr>
          <w:rFonts w:ascii="Times New Roman" w:eastAsia="Times New Roman" w:hAnsi="Times New Roman"/>
          <w:i/>
          <w:sz w:val="21"/>
        </w:rPr>
        <w:t xml:space="preserve">Kitâbu’l-Usûl, Kitâbu’l-İcmâ’, Kitâbu İbtâli’t-Taklîd, Kitâbu İbtâli’l-Kıyâs, Kitâbu’l-Hucce, Kitâbu’l-Husûs ve’l-Umûm </w:t>
      </w:r>
      <w:r>
        <w:rPr>
          <w:rFonts w:ascii="Times New Roman" w:eastAsia="Times New Roman" w:hAnsi="Times New Roman"/>
          <w:sz w:val="21"/>
        </w:rPr>
        <w:t>ve</w:t>
      </w:r>
      <w:r>
        <w:rPr>
          <w:rFonts w:ascii="Times New Roman" w:eastAsia="Times New Roman" w:hAnsi="Times New Roman"/>
          <w:i/>
          <w:sz w:val="21"/>
        </w:rPr>
        <w:t xml:space="preserve"> Kitâbu Haberi’l-Vâhid </w:t>
      </w:r>
      <w:r>
        <w:rPr>
          <w:rFonts w:ascii="Times New Roman" w:eastAsia="Times New Roman" w:hAnsi="Times New Roman"/>
          <w:sz w:val="21"/>
        </w:rPr>
        <w:t>adlarındaki kitapları</w:t>
      </w:r>
      <w:r>
        <w:rPr>
          <w:rFonts w:ascii="Times New Roman" w:eastAsia="Times New Roman" w:hAnsi="Times New Roman"/>
          <w:i/>
          <w:sz w:val="21"/>
        </w:rPr>
        <w:t xml:space="preserve"> </w:t>
      </w:r>
      <w:r>
        <w:rPr>
          <w:rFonts w:ascii="Times New Roman" w:eastAsia="Times New Roman" w:hAnsi="Times New Roman"/>
          <w:sz w:val="21"/>
        </w:rPr>
        <w:t>yanında bir</w:t>
      </w:r>
      <w:r>
        <w:rPr>
          <w:rFonts w:ascii="Times New Roman" w:eastAsia="Times New Roman" w:hAnsi="Times New Roman"/>
          <w:i/>
          <w:sz w:val="21"/>
        </w:rPr>
        <w:t xml:space="preserve"> </w:t>
      </w:r>
      <w:r>
        <w:rPr>
          <w:rFonts w:ascii="Times New Roman" w:eastAsia="Times New Roman" w:hAnsi="Times New Roman"/>
          <w:sz w:val="21"/>
        </w:rPr>
        <w:t>çok kitap adı sayılmaktadır.</w:t>
      </w:r>
      <w:r>
        <w:rPr>
          <w:rFonts w:ascii="Times New Roman" w:eastAsia="Times New Roman" w:hAnsi="Times New Roman"/>
          <w:sz w:val="12"/>
        </w:rPr>
        <w:t>25</w:t>
      </w:r>
      <w:r>
        <w:rPr>
          <w:rFonts w:ascii="Times New Roman" w:eastAsia="Times New Roman" w:hAnsi="Times New Roman"/>
          <w:sz w:val="21"/>
        </w:rPr>
        <w:t xml:space="preserve"> Bu kitapların müstakil birer risale mi yoksa daha hacimli bir usûl eserinin bölümleri mi olduğuna dair bir fikir yürütmek zor görünmektedir. Dâvûd b. Alî’nin usûlle ilgili olarak yine adlarından hare-ketle müstakil birer eser olduğunu tahmin ettiğimiz </w:t>
      </w:r>
      <w:r>
        <w:rPr>
          <w:rFonts w:ascii="Times New Roman" w:eastAsia="Times New Roman" w:hAnsi="Times New Roman"/>
          <w:i/>
          <w:sz w:val="21"/>
        </w:rPr>
        <w:t>el-Vusûl ilâ Ma’rifeti’l-Usûl</w:t>
      </w:r>
      <w:r>
        <w:rPr>
          <w:rFonts w:ascii="Times New Roman" w:eastAsia="Times New Roman" w:hAnsi="Times New Roman"/>
          <w:sz w:val="21"/>
        </w:rPr>
        <w:t>,</w:t>
      </w:r>
      <w:r>
        <w:rPr>
          <w:rFonts w:ascii="Times New Roman" w:eastAsia="Times New Roman" w:hAnsi="Times New Roman"/>
          <w:i/>
          <w:sz w:val="21"/>
        </w:rPr>
        <w:t xml:space="preserve"> İhtilâfu Mesâili’s-Sahâbe, el-İnzâr, el-İ’zâr </w:t>
      </w:r>
      <w:r>
        <w:rPr>
          <w:rFonts w:ascii="Times New Roman" w:eastAsia="Times New Roman" w:hAnsi="Times New Roman"/>
          <w:sz w:val="21"/>
        </w:rPr>
        <w:t>ve</w:t>
      </w:r>
      <w:r>
        <w:rPr>
          <w:rFonts w:ascii="Times New Roman" w:eastAsia="Times New Roman" w:hAnsi="Times New Roman"/>
          <w:i/>
          <w:sz w:val="21"/>
        </w:rPr>
        <w:t xml:space="preserve"> el-Îcâz </w:t>
      </w:r>
      <w:r>
        <w:rPr>
          <w:rFonts w:ascii="Times New Roman" w:eastAsia="Times New Roman" w:hAnsi="Times New Roman"/>
          <w:sz w:val="21"/>
        </w:rPr>
        <w:t>adlı</w:t>
      </w:r>
      <w:r>
        <w:rPr>
          <w:rFonts w:ascii="Times New Roman" w:eastAsia="Times New Roman" w:hAnsi="Times New Roman"/>
          <w:i/>
          <w:sz w:val="21"/>
        </w:rPr>
        <w:t xml:space="preserve"> </w:t>
      </w:r>
      <w:r>
        <w:rPr>
          <w:rFonts w:ascii="Times New Roman" w:eastAsia="Times New Roman" w:hAnsi="Times New Roman"/>
          <w:sz w:val="21"/>
        </w:rPr>
        <w:t>kitapları</w:t>
      </w:r>
      <w:r>
        <w:rPr>
          <w:rFonts w:ascii="Times New Roman" w:eastAsia="Times New Roman" w:hAnsi="Times New Roman"/>
          <w:i/>
          <w:sz w:val="21"/>
        </w:rPr>
        <w:t xml:space="preserve"> </w:t>
      </w:r>
      <w:r>
        <w:rPr>
          <w:rFonts w:ascii="Times New Roman" w:eastAsia="Times New Roman" w:hAnsi="Times New Roman"/>
          <w:sz w:val="21"/>
        </w:rPr>
        <w:t>oldu-ğundan bahsedilmiştir.</w:t>
      </w:r>
      <w:r>
        <w:rPr>
          <w:rFonts w:ascii="Times New Roman" w:eastAsia="Times New Roman" w:hAnsi="Times New Roman"/>
          <w:sz w:val="12"/>
        </w:rPr>
        <w:t>26</w:t>
      </w:r>
      <w:r>
        <w:rPr>
          <w:rFonts w:ascii="Times New Roman" w:eastAsia="Times New Roman" w:hAnsi="Times New Roman"/>
          <w:sz w:val="21"/>
        </w:rPr>
        <w:t xml:space="preserve"> Dâvûd’un eserlerinin öğrencilerinden el-Huseyn b. Abdillah es-Semerkandî tarafından rivayet edildiği</w:t>
      </w:r>
      <w:r>
        <w:rPr>
          <w:rFonts w:ascii="Times New Roman" w:eastAsia="Times New Roman" w:hAnsi="Times New Roman"/>
          <w:sz w:val="12"/>
        </w:rPr>
        <w:t>27</w:t>
      </w:r>
      <w:r>
        <w:rPr>
          <w:rFonts w:ascii="Times New Roman" w:eastAsia="Times New Roman" w:hAnsi="Times New Roman"/>
          <w:sz w:val="21"/>
        </w:rPr>
        <w:t>söylenmekle birlikte bu eserlerden hiçbiri elimize kadar ulaşmamıştır.</w:t>
      </w:r>
    </w:p>
    <w:p w:rsidR="00DB59D7" w:rsidRDefault="00DB59D7" w:rsidP="00DB59D7">
      <w:pPr>
        <w:spacing w:line="20" w:lineRule="exact"/>
        <w:rPr>
          <w:rFonts w:ascii="Times New Roman" w:eastAsia="Times New Roman" w:hAnsi="Times New Roman"/>
        </w:rPr>
      </w:pPr>
      <w:r>
        <w:rPr>
          <w:rFonts w:ascii="Times New Roman" w:eastAsia="Times New Roman" w:hAnsi="Times New Roman"/>
          <w:sz w:val="21"/>
        </w:rPr>
        <w:pict>
          <v:line id="_x0000_s1027" style="position:absolute;z-index:-251655168" from="0,20.25pt" to="141.7pt,20.25pt" o:userdrawn="t" strokeweight=".25pt"/>
        </w:pict>
      </w:r>
    </w:p>
    <w:p w:rsidR="00DB59D7" w:rsidRDefault="00DB59D7" w:rsidP="00DB59D7">
      <w:pPr>
        <w:spacing w:line="200" w:lineRule="exact"/>
        <w:rPr>
          <w:rFonts w:ascii="Times New Roman" w:eastAsia="Times New Roman" w:hAnsi="Times New Roman"/>
        </w:rPr>
      </w:pPr>
    </w:p>
    <w:p w:rsidR="00DB59D7" w:rsidRDefault="00DB59D7" w:rsidP="00DB59D7">
      <w:pPr>
        <w:spacing w:line="215" w:lineRule="exact"/>
        <w:rPr>
          <w:rFonts w:ascii="Times New Roman" w:eastAsia="Times New Roman" w:hAnsi="Times New Roman"/>
        </w:rPr>
      </w:pPr>
    </w:p>
    <w:p w:rsidR="00DB59D7" w:rsidRDefault="00DB59D7" w:rsidP="00DB59D7">
      <w:pPr>
        <w:spacing w:line="262" w:lineRule="auto"/>
        <w:ind w:left="226" w:hanging="226"/>
        <w:jc w:val="both"/>
        <w:rPr>
          <w:rFonts w:ascii="Times New Roman" w:eastAsia="Times New Roman" w:hAnsi="Times New Roman"/>
          <w:sz w:val="16"/>
        </w:rPr>
      </w:pPr>
      <w:r>
        <w:rPr>
          <w:rFonts w:ascii="Times New Roman" w:eastAsia="Times New Roman" w:hAnsi="Times New Roman"/>
          <w:sz w:val="16"/>
        </w:rPr>
        <w:t xml:space="preserve">21 Muhammed Ebû Zehra, </w:t>
      </w:r>
      <w:r>
        <w:rPr>
          <w:rFonts w:ascii="Times New Roman" w:eastAsia="Times New Roman" w:hAnsi="Times New Roman"/>
          <w:i/>
          <w:sz w:val="16"/>
        </w:rPr>
        <w:t>İslâm’da</w:t>
      </w:r>
      <w:r>
        <w:rPr>
          <w:rFonts w:ascii="Times New Roman" w:eastAsia="Times New Roman" w:hAnsi="Times New Roman"/>
          <w:sz w:val="16"/>
        </w:rPr>
        <w:t xml:space="preserve"> </w:t>
      </w:r>
      <w:r>
        <w:rPr>
          <w:rFonts w:ascii="Times New Roman" w:eastAsia="Times New Roman" w:hAnsi="Times New Roman"/>
          <w:i/>
          <w:sz w:val="16"/>
        </w:rPr>
        <w:t>İtikâdî, Siyâsî ve Fıkhî Mezhepler Tarihi, (Târihu’l-Mezâhib’il-İslâmiyye)</w:t>
      </w:r>
      <w:r>
        <w:rPr>
          <w:rFonts w:ascii="Times New Roman" w:eastAsia="Times New Roman" w:hAnsi="Times New Roman"/>
          <w:sz w:val="16"/>
        </w:rPr>
        <w:t>, Çev: Sıbğatullah Kaya,</w:t>
      </w:r>
      <w:r>
        <w:rPr>
          <w:rFonts w:ascii="Times New Roman" w:eastAsia="Times New Roman" w:hAnsi="Times New Roman"/>
          <w:i/>
          <w:sz w:val="16"/>
        </w:rPr>
        <w:t xml:space="preserve"> </w:t>
      </w:r>
      <w:r>
        <w:rPr>
          <w:rFonts w:ascii="Times New Roman" w:eastAsia="Times New Roman" w:hAnsi="Times New Roman"/>
          <w:sz w:val="16"/>
        </w:rPr>
        <w:t>Şenyıldız Matbaası,</w:t>
      </w:r>
      <w:r>
        <w:rPr>
          <w:rFonts w:ascii="Times New Roman" w:eastAsia="Times New Roman" w:hAnsi="Times New Roman"/>
          <w:i/>
          <w:sz w:val="16"/>
        </w:rPr>
        <w:t xml:space="preserve"> </w:t>
      </w:r>
      <w:r>
        <w:rPr>
          <w:rFonts w:ascii="Times New Roman" w:eastAsia="Times New Roman" w:hAnsi="Times New Roman"/>
          <w:sz w:val="16"/>
        </w:rPr>
        <w:t>İstanbul (t.y.), s.527.</w:t>
      </w:r>
    </w:p>
    <w:p w:rsidR="00DB59D7" w:rsidRDefault="00DB59D7" w:rsidP="00DB59D7">
      <w:pPr>
        <w:spacing w:line="1" w:lineRule="exact"/>
        <w:rPr>
          <w:rFonts w:ascii="Times New Roman" w:eastAsia="Times New Roman" w:hAnsi="Times New Roman"/>
        </w:rPr>
      </w:pPr>
    </w:p>
    <w:p w:rsidR="00DB59D7" w:rsidRDefault="00DB59D7" w:rsidP="00DB59D7">
      <w:pPr>
        <w:spacing w:line="250" w:lineRule="auto"/>
        <w:ind w:left="226" w:hanging="226"/>
        <w:jc w:val="both"/>
        <w:rPr>
          <w:rFonts w:ascii="Times New Roman" w:eastAsia="Times New Roman" w:hAnsi="Times New Roman"/>
          <w:sz w:val="16"/>
        </w:rPr>
      </w:pPr>
      <w:r>
        <w:rPr>
          <w:rFonts w:ascii="Times New Roman" w:eastAsia="Times New Roman" w:hAnsi="Times New Roman"/>
          <w:sz w:val="16"/>
        </w:rPr>
        <w:t>22 Zehebî,</w:t>
      </w:r>
      <w:r>
        <w:rPr>
          <w:rFonts w:ascii="Times New Roman" w:eastAsia="Times New Roman" w:hAnsi="Times New Roman"/>
        </w:rPr>
        <w:t xml:space="preserve"> </w:t>
      </w:r>
      <w:r>
        <w:rPr>
          <w:rFonts w:ascii="Times New Roman" w:eastAsia="Times New Roman" w:hAnsi="Times New Roman"/>
          <w:i/>
          <w:sz w:val="16"/>
        </w:rPr>
        <w:t>Mîzânü’l-İ’tidâl</w:t>
      </w:r>
      <w:r>
        <w:rPr>
          <w:rFonts w:ascii="Times New Roman" w:eastAsia="Times New Roman" w:hAnsi="Times New Roman"/>
          <w:sz w:val="16"/>
        </w:rPr>
        <w:t>, III/26; Zehebî,</w:t>
      </w:r>
      <w:r>
        <w:rPr>
          <w:rFonts w:ascii="Times New Roman" w:eastAsia="Times New Roman" w:hAnsi="Times New Roman"/>
          <w:i/>
          <w:sz w:val="16"/>
        </w:rPr>
        <w:t xml:space="preserve"> Târihu’l-İslâm ve Vefeyâtü’l-A’lâm ve’l-Meşâhîr</w:t>
      </w:r>
      <w:r>
        <w:rPr>
          <w:rFonts w:ascii="Times New Roman" w:eastAsia="Times New Roman" w:hAnsi="Times New Roman"/>
          <w:sz w:val="16"/>
        </w:rPr>
        <w:t>,</w:t>
      </w:r>
      <w:r>
        <w:rPr>
          <w:rFonts w:ascii="Times New Roman" w:eastAsia="Times New Roman" w:hAnsi="Times New Roman"/>
          <w:i/>
          <w:sz w:val="16"/>
        </w:rPr>
        <w:t xml:space="preserve"> </w:t>
      </w:r>
      <w:r>
        <w:rPr>
          <w:rFonts w:ascii="Times New Roman" w:eastAsia="Times New Roman" w:hAnsi="Times New Roman"/>
          <w:sz w:val="16"/>
        </w:rPr>
        <w:t>Dâru’l-Kitâbi’l-Arabî, Beyrût 1992, XX/90.</w:t>
      </w:r>
    </w:p>
    <w:p w:rsidR="00DB59D7" w:rsidRDefault="00DB59D7" w:rsidP="00DB59D7">
      <w:pPr>
        <w:spacing w:line="1" w:lineRule="exact"/>
        <w:rPr>
          <w:rFonts w:ascii="Times New Roman" w:eastAsia="Times New Roman" w:hAnsi="Times New Roman"/>
        </w:rPr>
      </w:pPr>
    </w:p>
    <w:p w:rsidR="00DB59D7" w:rsidRDefault="00DB59D7" w:rsidP="00DB59D7">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İbnü’n-Nedîm, s. 271.</w:t>
      </w:r>
    </w:p>
    <w:p w:rsidR="00DB59D7" w:rsidRDefault="00DB59D7" w:rsidP="00DB59D7">
      <w:pPr>
        <w:spacing w:line="8" w:lineRule="exact"/>
        <w:rPr>
          <w:rFonts w:ascii="Times New Roman" w:eastAsia="Times New Roman" w:hAnsi="Times New Roman"/>
          <w:sz w:val="16"/>
        </w:rPr>
      </w:pPr>
    </w:p>
    <w:p w:rsidR="00DB59D7" w:rsidRDefault="00DB59D7" w:rsidP="00DB59D7">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Hacvî, III/36.</w:t>
      </w:r>
    </w:p>
    <w:p w:rsidR="00DB59D7" w:rsidRDefault="00DB59D7" w:rsidP="00DB59D7">
      <w:pPr>
        <w:spacing w:line="8" w:lineRule="exact"/>
        <w:rPr>
          <w:rFonts w:ascii="Times New Roman" w:eastAsia="Times New Roman" w:hAnsi="Times New Roman"/>
          <w:sz w:val="16"/>
        </w:rPr>
      </w:pPr>
    </w:p>
    <w:p w:rsidR="00DB59D7" w:rsidRDefault="00DB59D7" w:rsidP="00DB59D7">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İbnü’n-Nedîm, s. 272; Safedî, III/48; İsmâil Bâşâ, I/359; Hacvî, III/36.</w:t>
      </w:r>
    </w:p>
    <w:p w:rsidR="00DB59D7" w:rsidRDefault="00DB59D7" w:rsidP="00DB59D7">
      <w:pPr>
        <w:spacing w:line="8" w:lineRule="exact"/>
        <w:rPr>
          <w:rFonts w:ascii="Times New Roman" w:eastAsia="Times New Roman" w:hAnsi="Times New Roman"/>
          <w:sz w:val="16"/>
        </w:rPr>
      </w:pPr>
    </w:p>
    <w:p w:rsidR="00DB59D7" w:rsidRDefault="00DB59D7" w:rsidP="00DB59D7">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İbnü’n-Nedîm, s. 272; Ziriklî, VI/120.</w:t>
      </w:r>
    </w:p>
    <w:p w:rsidR="00DB59D7" w:rsidRDefault="00DB59D7" w:rsidP="00DB59D7">
      <w:pPr>
        <w:spacing w:line="8" w:lineRule="exact"/>
        <w:rPr>
          <w:rFonts w:ascii="Times New Roman" w:eastAsia="Times New Roman" w:hAnsi="Times New Roman"/>
          <w:sz w:val="16"/>
        </w:rPr>
      </w:pPr>
    </w:p>
    <w:p w:rsidR="00DB59D7" w:rsidRDefault="00DB59D7" w:rsidP="00DB59D7">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Ebû İshâk eş-Şîrâzî, </w:t>
      </w:r>
      <w:r>
        <w:rPr>
          <w:rFonts w:ascii="Times New Roman" w:eastAsia="Times New Roman" w:hAnsi="Times New Roman"/>
          <w:i/>
          <w:sz w:val="16"/>
        </w:rPr>
        <w:t>Tabakâtü’l-Fukahâ</w:t>
      </w:r>
      <w:r>
        <w:rPr>
          <w:rFonts w:ascii="Times New Roman" w:eastAsia="Times New Roman" w:hAnsi="Times New Roman"/>
          <w:sz w:val="16"/>
        </w:rPr>
        <w:t>, Dâru’r-Râidi’l-Arabî, Beyrût 1970, s. 177.</w:t>
      </w:r>
    </w:p>
    <w:p w:rsidR="00DB59D7" w:rsidRDefault="00DB59D7" w:rsidP="00DB59D7">
      <w:pPr>
        <w:tabs>
          <w:tab w:val="left" w:pos="226"/>
        </w:tabs>
        <w:spacing w:line="0" w:lineRule="atLeast"/>
        <w:ind w:left="226" w:hanging="226"/>
        <w:rPr>
          <w:rFonts w:ascii="Times New Roman" w:eastAsia="Times New Roman" w:hAnsi="Times New Roman"/>
          <w:sz w:val="16"/>
        </w:rPr>
        <w:sectPr w:rsidR="00DB59D7">
          <w:pgSz w:w="9240" w:h="13663"/>
          <w:pgMar w:top="1248" w:right="1301" w:bottom="699" w:left="1134" w:header="0" w:footer="0" w:gutter="0"/>
          <w:cols w:space="0" w:equalWidth="0">
            <w:col w:w="6806"/>
          </w:cols>
          <w:docGrid w:linePitch="360"/>
        </w:sectPr>
      </w:pPr>
    </w:p>
    <w:p w:rsidR="00DB59D7" w:rsidRDefault="00DB59D7" w:rsidP="00DB59D7">
      <w:pPr>
        <w:tabs>
          <w:tab w:val="left" w:pos="5840"/>
        </w:tabs>
        <w:spacing w:line="0" w:lineRule="atLeast"/>
        <w:rPr>
          <w:rFonts w:ascii="Times New Roman" w:eastAsia="Times New Roman" w:hAnsi="Times New Roman"/>
          <w:i/>
          <w:sz w:val="13"/>
        </w:rPr>
      </w:pPr>
      <w:bookmarkStart w:id="1" w:name="page8"/>
      <w:bookmarkEnd w:id="1"/>
      <w:r>
        <w:rPr>
          <w:rFonts w:ascii="Times New Roman" w:eastAsia="Times New Roman" w:hAnsi="Times New Roman"/>
          <w:sz w:val="17"/>
        </w:rPr>
        <w:lastRenderedPageBreak/>
        <w:t>144</w:t>
      </w:r>
      <w:r>
        <w:rPr>
          <w:rFonts w:ascii="Times New Roman" w:eastAsia="Times New Roman" w:hAnsi="Times New Roman"/>
        </w:rPr>
        <w:tab/>
      </w:r>
      <w:r>
        <w:rPr>
          <w:rFonts w:ascii="Times New Roman" w:eastAsia="Times New Roman" w:hAnsi="Times New Roman"/>
          <w:i/>
          <w:sz w:val="13"/>
        </w:rPr>
        <w:t>OĞUZHAN TAN</w:t>
      </w:r>
    </w:p>
    <w:p w:rsidR="00DB59D7" w:rsidRDefault="00DB59D7" w:rsidP="00DB59D7">
      <w:pPr>
        <w:spacing w:line="200" w:lineRule="exact"/>
        <w:rPr>
          <w:rFonts w:ascii="Times New Roman" w:eastAsia="Times New Roman" w:hAnsi="Times New Roman"/>
        </w:rPr>
      </w:pPr>
    </w:p>
    <w:p w:rsidR="00DB59D7" w:rsidRDefault="00DB59D7" w:rsidP="00DB59D7">
      <w:pPr>
        <w:spacing w:line="200" w:lineRule="exact"/>
        <w:rPr>
          <w:rFonts w:ascii="Times New Roman" w:eastAsia="Times New Roman" w:hAnsi="Times New Roman"/>
        </w:rPr>
      </w:pPr>
    </w:p>
    <w:p w:rsidR="00DB59D7" w:rsidRDefault="00DB59D7" w:rsidP="00DB59D7">
      <w:pPr>
        <w:spacing w:line="254" w:lineRule="exact"/>
        <w:rPr>
          <w:rFonts w:ascii="Times New Roman" w:eastAsia="Times New Roman" w:hAnsi="Times New Roman"/>
        </w:rPr>
      </w:pPr>
    </w:p>
    <w:p w:rsidR="00DB59D7" w:rsidRDefault="00DB59D7" w:rsidP="00DB59D7">
      <w:pPr>
        <w:spacing w:line="284" w:lineRule="auto"/>
        <w:ind w:firstLine="283"/>
        <w:jc w:val="both"/>
        <w:rPr>
          <w:rFonts w:ascii="Times New Roman" w:eastAsia="Times New Roman" w:hAnsi="Times New Roman"/>
          <w:sz w:val="12"/>
        </w:rPr>
      </w:pPr>
      <w:r>
        <w:rPr>
          <w:rFonts w:ascii="Times New Roman" w:eastAsia="Times New Roman" w:hAnsi="Times New Roman"/>
          <w:sz w:val="22"/>
        </w:rPr>
        <w:t>Sübkî, Dâvûd’un Ebu’l-Velîd Mûsâ b. el-Cârûd’a göndermiş olduğu uzun bir risaleyi bizzat gördüğünü, bu risâlede Müzenî’nin kendisine yöneltti-ği eleştirilere cevap verdiğini söylemektedir. Sübkî, söz konusu risalenin 300h./912m. yılında ya da ondan daha önce yazılmış olduğunu tahmin etti-ğini</w:t>
      </w:r>
      <w:r>
        <w:rPr>
          <w:rFonts w:ascii="Times New Roman" w:eastAsia="Times New Roman" w:hAnsi="Times New Roman"/>
          <w:sz w:val="12"/>
        </w:rPr>
        <w:t>28</w:t>
      </w:r>
      <w:r>
        <w:rPr>
          <w:rFonts w:ascii="Times New Roman" w:eastAsia="Times New Roman" w:hAnsi="Times New Roman"/>
          <w:sz w:val="22"/>
        </w:rPr>
        <w:t xml:space="preserve"> ve aslının kendisinde mevcut olduğunu söylemektedir. Bunun dışında Dâvûd’un usûle dair olup sayfa sayısı fazla olmayan bir eserini daha bizzat gördüğünü söylemekte ve bu eserden bazı alıntılar yapmaktadır.</w:t>
      </w:r>
      <w:r>
        <w:rPr>
          <w:rFonts w:ascii="Times New Roman" w:eastAsia="Times New Roman" w:hAnsi="Times New Roman"/>
          <w:sz w:val="12"/>
        </w:rPr>
        <w:t>29</w:t>
      </w:r>
    </w:p>
    <w:p w:rsidR="00DB59D7" w:rsidRDefault="00DB59D7" w:rsidP="00DB59D7">
      <w:pPr>
        <w:spacing w:line="4" w:lineRule="exact"/>
        <w:rPr>
          <w:rFonts w:ascii="Times New Roman" w:eastAsia="Times New Roman" w:hAnsi="Times New Roman"/>
        </w:rPr>
      </w:pPr>
    </w:p>
    <w:p w:rsidR="00DB59D7" w:rsidRDefault="00DB59D7" w:rsidP="00DB59D7">
      <w:pPr>
        <w:spacing w:line="284" w:lineRule="auto"/>
        <w:ind w:firstLine="283"/>
        <w:jc w:val="both"/>
        <w:rPr>
          <w:rFonts w:ascii="Times New Roman" w:eastAsia="Times New Roman" w:hAnsi="Times New Roman"/>
          <w:sz w:val="12"/>
        </w:rPr>
      </w:pPr>
      <w:r>
        <w:rPr>
          <w:rFonts w:ascii="Times New Roman" w:eastAsia="Times New Roman" w:hAnsi="Times New Roman"/>
          <w:sz w:val="22"/>
        </w:rPr>
        <w:t xml:space="preserve">Dâvûd b. Alî’nin fetvâ ile ilgili olarak çeştili şehirlerden gelen sorulara ce-vaplar verdiği ve bu şehirlerin adlarını taşıyan </w:t>
      </w:r>
      <w:r>
        <w:rPr>
          <w:rFonts w:ascii="Times New Roman" w:eastAsia="Times New Roman" w:hAnsi="Times New Roman"/>
          <w:i/>
          <w:sz w:val="22"/>
        </w:rPr>
        <w:t>Kitâbu’l-Mesâili’l-İsbehâniyyât,</w:t>
      </w:r>
      <w:r>
        <w:rPr>
          <w:rFonts w:ascii="Times New Roman" w:eastAsia="Times New Roman" w:hAnsi="Times New Roman"/>
          <w:sz w:val="22"/>
        </w:rPr>
        <w:t xml:space="preserve"> </w:t>
      </w:r>
      <w:r>
        <w:rPr>
          <w:rFonts w:ascii="Times New Roman" w:eastAsia="Times New Roman" w:hAnsi="Times New Roman"/>
          <w:i/>
          <w:sz w:val="22"/>
        </w:rPr>
        <w:t xml:space="preserve">Kitâbu’l-Mesâili’l-Basriyyât </w:t>
      </w:r>
      <w:r>
        <w:rPr>
          <w:rFonts w:ascii="Times New Roman" w:eastAsia="Times New Roman" w:hAnsi="Times New Roman"/>
          <w:sz w:val="22"/>
        </w:rPr>
        <w:t>ve</w:t>
      </w:r>
      <w:r>
        <w:rPr>
          <w:rFonts w:ascii="Times New Roman" w:eastAsia="Times New Roman" w:hAnsi="Times New Roman"/>
          <w:i/>
          <w:sz w:val="22"/>
        </w:rPr>
        <w:t xml:space="preserve"> Kitâbu’l-Mesâili’l-Havârizmiyyât </w:t>
      </w:r>
      <w:r>
        <w:rPr>
          <w:rFonts w:ascii="Times New Roman" w:eastAsia="Times New Roman" w:hAnsi="Times New Roman"/>
          <w:sz w:val="22"/>
        </w:rPr>
        <w:t>adlı</w:t>
      </w:r>
      <w:r>
        <w:rPr>
          <w:rFonts w:ascii="Times New Roman" w:eastAsia="Times New Roman" w:hAnsi="Times New Roman"/>
          <w:i/>
          <w:sz w:val="22"/>
        </w:rPr>
        <w:t xml:space="preserve"> </w:t>
      </w:r>
      <w:r>
        <w:rPr>
          <w:rFonts w:ascii="Times New Roman" w:eastAsia="Times New Roman" w:hAnsi="Times New Roman"/>
          <w:sz w:val="22"/>
        </w:rPr>
        <w:t>eserle-rinden de bahsedilmektedir.</w:t>
      </w:r>
      <w:r>
        <w:rPr>
          <w:rFonts w:ascii="Times New Roman" w:eastAsia="Times New Roman" w:hAnsi="Times New Roman"/>
          <w:sz w:val="12"/>
        </w:rPr>
        <w:t>30</w:t>
      </w:r>
    </w:p>
    <w:p w:rsidR="00DB59D7" w:rsidRDefault="00DB59D7" w:rsidP="00DB59D7">
      <w:pPr>
        <w:spacing w:line="3" w:lineRule="exact"/>
        <w:rPr>
          <w:rFonts w:ascii="Times New Roman" w:eastAsia="Times New Roman" w:hAnsi="Times New Roman"/>
        </w:rPr>
      </w:pPr>
    </w:p>
    <w:p w:rsidR="00DB59D7" w:rsidRDefault="00DB59D7" w:rsidP="00DB59D7">
      <w:pPr>
        <w:spacing w:line="284" w:lineRule="auto"/>
        <w:ind w:firstLine="283"/>
        <w:jc w:val="both"/>
        <w:rPr>
          <w:rFonts w:ascii="Times New Roman" w:eastAsia="Times New Roman" w:hAnsi="Times New Roman"/>
          <w:sz w:val="12"/>
        </w:rPr>
      </w:pPr>
      <w:r>
        <w:rPr>
          <w:rFonts w:ascii="Times New Roman" w:eastAsia="Times New Roman" w:hAnsi="Times New Roman"/>
          <w:sz w:val="22"/>
        </w:rPr>
        <w:t>İbnu’n-Nedîm, bunların dışında isimlerinden siyer-i nebî, ahlak, dua ve hadisler ile ilgili olduğu anlaşılan çeşitli eserlerinden de bahsetmektedir.</w:t>
      </w:r>
      <w:r>
        <w:rPr>
          <w:rFonts w:ascii="Times New Roman" w:eastAsia="Times New Roman" w:hAnsi="Times New Roman"/>
          <w:sz w:val="12"/>
        </w:rPr>
        <w:t>31</w:t>
      </w:r>
    </w:p>
    <w:p w:rsidR="00DB59D7" w:rsidRDefault="00DB59D7" w:rsidP="00DB59D7">
      <w:pPr>
        <w:spacing w:line="1" w:lineRule="exact"/>
        <w:rPr>
          <w:rFonts w:ascii="Times New Roman" w:eastAsia="Times New Roman" w:hAnsi="Times New Roman"/>
        </w:rPr>
      </w:pPr>
    </w:p>
    <w:p w:rsidR="00DB59D7" w:rsidRDefault="00DB59D7" w:rsidP="00DB59D7">
      <w:pPr>
        <w:spacing w:line="284" w:lineRule="auto"/>
        <w:ind w:firstLine="283"/>
        <w:jc w:val="both"/>
        <w:rPr>
          <w:rFonts w:ascii="Times New Roman" w:eastAsia="Times New Roman" w:hAnsi="Times New Roman"/>
          <w:sz w:val="22"/>
        </w:rPr>
      </w:pPr>
      <w:r>
        <w:rPr>
          <w:rFonts w:ascii="Times New Roman" w:eastAsia="Times New Roman" w:hAnsi="Times New Roman"/>
          <w:sz w:val="22"/>
        </w:rPr>
        <w:t>Dâvûd b. Alî’nin bu kadar çok sayıda eseri olduğu halde bu eserlerden hiç birinin günümüze kadar gelememesi ya da henüz gün yüzüne çıkmış olmama-sı dikkat çekicidir.</w:t>
      </w:r>
    </w:p>
    <w:p w:rsidR="00DB59D7" w:rsidRDefault="00DB59D7" w:rsidP="00DB59D7">
      <w:pPr>
        <w:spacing w:line="2" w:lineRule="exact"/>
        <w:rPr>
          <w:rFonts w:ascii="Times New Roman" w:eastAsia="Times New Roman" w:hAnsi="Times New Roman"/>
        </w:rPr>
      </w:pPr>
    </w:p>
    <w:p w:rsidR="00DB59D7" w:rsidRDefault="00DB59D7" w:rsidP="00DB59D7">
      <w:pPr>
        <w:spacing w:line="295" w:lineRule="auto"/>
        <w:ind w:firstLine="283"/>
        <w:jc w:val="both"/>
        <w:rPr>
          <w:rFonts w:ascii="Times New Roman" w:eastAsia="Times New Roman" w:hAnsi="Times New Roman"/>
          <w:sz w:val="22"/>
        </w:rPr>
      </w:pPr>
      <w:r>
        <w:rPr>
          <w:rFonts w:ascii="Times New Roman" w:eastAsia="Times New Roman" w:hAnsi="Times New Roman"/>
          <w:sz w:val="22"/>
        </w:rPr>
        <w:t>Dâvûd b. Alî’nin eserlerinde çokça hadis kullandığı ama kendisinden çok az rivayette bulunulduğu şeklinde bir değerlendirme de yapılmıştır.</w:t>
      </w:r>
      <w:r>
        <w:rPr>
          <w:rFonts w:ascii="Times New Roman" w:eastAsia="Times New Roman" w:hAnsi="Times New Roman"/>
          <w:sz w:val="12"/>
        </w:rPr>
        <w:t>32</w:t>
      </w:r>
      <w:r>
        <w:rPr>
          <w:rFonts w:ascii="Times New Roman" w:eastAsia="Times New Roman" w:hAnsi="Times New Roman"/>
          <w:sz w:val="22"/>
        </w:rPr>
        <w:t xml:space="preserve"> Bu da Dâvûd’un ehl-i hadis çizgisinde olduğunu fakat kendisine tereddütle yaklaşıl-dığını göstermektedir.</w:t>
      </w:r>
    </w:p>
    <w:p w:rsidR="00D93C16" w:rsidRDefault="00DB59D7"/>
    <w:sectPr w:rsidR="00D93C16"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09CF92E"/>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0DED7262"/>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614FD4A0"/>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419AC24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05072366"/>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2"/>
    <w:multiLevelType w:val="hybridMultilevel"/>
    <w:tmpl w:val="77465F0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3"/>
    <w:multiLevelType w:val="hybridMultilevel"/>
    <w:tmpl w:val="7724C67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5C1F"/>
    <w:rsid w:val="00145C1F"/>
    <w:rsid w:val="0032771A"/>
    <w:rsid w:val="00354863"/>
    <w:rsid w:val="00402397"/>
    <w:rsid w:val="00534153"/>
    <w:rsid w:val="00680C6B"/>
    <w:rsid w:val="00CB305E"/>
    <w:rsid w:val="00DB59D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1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3</cp:revision>
  <dcterms:created xsi:type="dcterms:W3CDTF">2020-07-17T16:18:00Z</dcterms:created>
  <dcterms:modified xsi:type="dcterms:W3CDTF">2020-07-17T22:32:00Z</dcterms:modified>
</cp:coreProperties>
</file>