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8C" w:rsidRDefault="0061338C" w:rsidP="0061338C">
      <w:pPr>
        <w:spacing w:line="284" w:lineRule="auto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Dâvûd’un</w:t>
      </w:r>
      <w:proofErr w:type="spellEnd"/>
      <w:r>
        <w:rPr>
          <w:rFonts w:ascii="Times New Roman" w:eastAsia="Times New Roman" w:hAnsi="Times New Roman"/>
          <w:sz w:val="22"/>
        </w:rPr>
        <w:t xml:space="preserve"> savunuculuğunu yaptığı hareket bir açıdan ister </w:t>
      </w:r>
      <w:proofErr w:type="spellStart"/>
      <w:r>
        <w:rPr>
          <w:rFonts w:ascii="Times New Roman" w:eastAsia="Times New Roman" w:hAnsi="Times New Roman"/>
          <w:sz w:val="22"/>
        </w:rPr>
        <w:t>re’ye</w:t>
      </w:r>
      <w:proofErr w:type="spellEnd"/>
      <w:r>
        <w:rPr>
          <w:rFonts w:ascii="Times New Roman" w:eastAsia="Times New Roman" w:hAnsi="Times New Roman"/>
          <w:sz w:val="22"/>
        </w:rPr>
        <w:t xml:space="preserve"> doğru, isterse </w:t>
      </w:r>
      <w:proofErr w:type="spellStart"/>
      <w:r>
        <w:rPr>
          <w:rFonts w:ascii="Times New Roman" w:eastAsia="Times New Roman" w:hAnsi="Times New Roman"/>
          <w:sz w:val="22"/>
        </w:rPr>
        <w:t>bâtınî</w:t>
      </w:r>
      <w:proofErr w:type="spellEnd"/>
      <w:r>
        <w:rPr>
          <w:rFonts w:ascii="Times New Roman" w:eastAsia="Times New Roman" w:hAnsi="Times New Roman"/>
          <w:sz w:val="22"/>
        </w:rPr>
        <w:t xml:space="preserve"> anlama doğru olsun </w:t>
      </w:r>
      <w:proofErr w:type="spellStart"/>
      <w:r>
        <w:rPr>
          <w:rFonts w:ascii="Times New Roman" w:eastAsia="Times New Roman" w:hAnsi="Times New Roman"/>
          <w:sz w:val="22"/>
        </w:rPr>
        <w:t>nasstan</w:t>
      </w:r>
      <w:proofErr w:type="spellEnd"/>
      <w:r>
        <w:rPr>
          <w:rFonts w:ascii="Times New Roman" w:eastAsia="Times New Roman" w:hAnsi="Times New Roman"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sz w:val="22"/>
        </w:rPr>
        <w:t>zâhir</w:t>
      </w:r>
      <w:proofErr w:type="spellEnd"/>
      <w:r>
        <w:rPr>
          <w:rFonts w:ascii="Times New Roman" w:eastAsia="Times New Roman" w:hAnsi="Times New Roman"/>
          <w:sz w:val="22"/>
        </w:rPr>
        <w:t xml:space="preserve"> anlamdan uzaklaşılmasını redde-den bir tepki hareketidir.</w:t>
      </w:r>
    </w:p>
    <w:p w:rsidR="0061338C" w:rsidRDefault="0061338C" w:rsidP="0061338C">
      <w:pPr>
        <w:spacing w:line="2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98" w:lineRule="auto"/>
        <w:ind w:firstLine="284"/>
        <w:jc w:val="both"/>
        <w:rPr>
          <w:rFonts w:ascii="Times New Roman" w:eastAsia="Times New Roman" w:hAnsi="Times New Roman"/>
          <w:sz w:val="12"/>
        </w:rPr>
      </w:pPr>
      <w:proofErr w:type="spellStart"/>
      <w:r>
        <w:rPr>
          <w:rFonts w:ascii="Times New Roman" w:eastAsia="Times New Roman" w:hAnsi="Times New Roman"/>
          <w:sz w:val="21"/>
        </w:rPr>
        <w:t>Dâvûd</w:t>
      </w:r>
      <w:proofErr w:type="spellEnd"/>
      <w:r>
        <w:rPr>
          <w:rFonts w:ascii="Times New Roman" w:eastAsia="Times New Roman" w:hAnsi="Times New Roman"/>
          <w:sz w:val="21"/>
        </w:rPr>
        <w:t xml:space="preserve"> b. </w:t>
      </w:r>
      <w:proofErr w:type="spellStart"/>
      <w:r>
        <w:rPr>
          <w:rFonts w:ascii="Times New Roman" w:eastAsia="Times New Roman" w:hAnsi="Times New Roman"/>
          <w:sz w:val="21"/>
        </w:rPr>
        <w:t>Alî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Hallâc</w:t>
      </w:r>
      <w:proofErr w:type="spellEnd"/>
      <w:r>
        <w:rPr>
          <w:rFonts w:ascii="Times New Roman" w:eastAsia="Times New Roman" w:hAnsi="Times New Roman"/>
          <w:sz w:val="21"/>
        </w:rPr>
        <w:t xml:space="preserve"> (309h./921m.) ve onun hocaları olan </w:t>
      </w:r>
      <w:proofErr w:type="spellStart"/>
      <w:r>
        <w:rPr>
          <w:rFonts w:ascii="Times New Roman" w:eastAsia="Times New Roman" w:hAnsi="Times New Roman"/>
          <w:sz w:val="21"/>
        </w:rPr>
        <w:t>Cüneyd</w:t>
      </w:r>
      <w:proofErr w:type="spellEnd"/>
      <w:r>
        <w:rPr>
          <w:rFonts w:ascii="Times New Roman" w:eastAsia="Times New Roman" w:hAnsi="Times New Roman"/>
          <w:sz w:val="21"/>
        </w:rPr>
        <w:t xml:space="preserve"> (297h./910m.) ve </w:t>
      </w:r>
      <w:proofErr w:type="spellStart"/>
      <w:r>
        <w:rPr>
          <w:rFonts w:ascii="Times New Roman" w:eastAsia="Times New Roman" w:hAnsi="Times New Roman"/>
          <w:sz w:val="21"/>
        </w:rPr>
        <w:t>Bistâmî</w:t>
      </w:r>
      <w:proofErr w:type="spellEnd"/>
      <w:r>
        <w:rPr>
          <w:rFonts w:ascii="Times New Roman" w:eastAsia="Times New Roman" w:hAnsi="Times New Roman"/>
          <w:sz w:val="21"/>
        </w:rPr>
        <w:t xml:space="preserve"> (261h./875m.) ile çağdaştır. Aynı şekilde </w:t>
      </w:r>
      <w:proofErr w:type="spellStart"/>
      <w:r>
        <w:rPr>
          <w:rFonts w:ascii="Times New Roman" w:eastAsia="Times New Roman" w:hAnsi="Times New Roman"/>
          <w:sz w:val="21"/>
        </w:rPr>
        <w:t>Cüneyd’in</w:t>
      </w:r>
      <w:proofErr w:type="spellEnd"/>
      <w:r>
        <w:rPr>
          <w:rFonts w:ascii="Times New Roman" w:eastAsia="Times New Roman" w:hAnsi="Times New Roman"/>
          <w:sz w:val="21"/>
        </w:rPr>
        <w:t xml:space="preserve"> şeyhi olan </w:t>
      </w:r>
      <w:proofErr w:type="spellStart"/>
      <w:r>
        <w:rPr>
          <w:rFonts w:ascii="Times New Roman" w:eastAsia="Times New Roman" w:hAnsi="Times New Roman"/>
          <w:sz w:val="21"/>
        </w:rPr>
        <w:t>Hâris</w:t>
      </w:r>
      <w:proofErr w:type="spellEnd"/>
      <w:r>
        <w:rPr>
          <w:rFonts w:ascii="Times New Roman" w:eastAsia="Times New Roman" w:hAnsi="Times New Roman"/>
          <w:sz w:val="21"/>
        </w:rPr>
        <w:t xml:space="preserve"> el-</w:t>
      </w:r>
      <w:proofErr w:type="spellStart"/>
      <w:r>
        <w:rPr>
          <w:rFonts w:ascii="Times New Roman" w:eastAsia="Times New Roman" w:hAnsi="Times New Roman"/>
          <w:sz w:val="21"/>
        </w:rPr>
        <w:t>Muhâsibî</w:t>
      </w:r>
      <w:proofErr w:type="spellEnd"/>
      <w:r>
        <w:rPr>
          <w:rFonts w:ascii="Times New Roman" w:eastAsia="Times New Roman" w:hAnsi="Times New Roman"/>
          <w:sz w:val="21"/>
        </w:rPr>
        <w:t xml:space="preserve"> (243h./857m.) ile de aynı çağda yaşamıştır. </w:t>
      </w:r>
      <w:proofErr w:type="spellStart"/>
      <w:r>
        <w:rPr>
          <w:rFonts w:ascii="Times New Roman" w:eastAsia="Times New Roman" w:hAnsi="Times New Roman"/>
          <w:sz w:val="21"/>
        </w:rPr>
        <w:t>Böy</w:t>
      </w:r>
      <w:proofErr w:type="spellEnd"/>
      <w:r>
        <w:rPr>
          <w:rFonts w:ascii="Times New Roman" w:eastAsia="Times New Roman" w:hAnsi="Times New Roman"/>
          <w:sz w:val="21"/>
        </w:rPr>
        <w:t>-</w:t>
      </w:r>
      <w:proofErr w:type="spellStart"/>
      <w:r>
        <w:rPr>
          <w:rFonts w:ascii="Times New Roman" w:eastAsia="Times New Roman" w:hAnsi="Times New Roman"/>
          <w:sz w:val="21"/>
        </w:rPr>
        <w:t>le</w:t>
      </w:r>
      <w:proofErr w:type="spellEnd"/>
      <w:r>
        <w:rPr>
          <w:rFonts w:ascii="Times New Roman" w:eastAsia="Times New Roman" w:hAnsi="Times New Roman"/>
          <w:sz w:val="21"/>
        </w:rPr>
        <w:t xml:space="preserve"> bir atmosferde bu tür tevillere karşı sünneti korumaya çalışanlar, </w:t>
      </w:r>
      <w:proofErr w:type="spellStart"/>
      <w:r>
        <w:rPr>
          <w:rFonts w:ascii="Times New Roman" w:eastAsia="Times New Roman" w:hAnsi="Times New Roman"/>
          <w:sz w:val="21"/>
        </w:rPr>
        <w:t>nassların</w:t>
      </w:r>
      <w:proofErr w:type="spellEnd"/>
      <w:r>
        <w:rPr>
          <w:rFonts w:ascii="Times New Roman" w:eastAsia="Times New Roman" w:hAnsi="Times New Roman"/>
          <w:sz w:val="21"/>
        </w:rPr>
        <w:t xml:space="preserve"> bir </w:t>
      </w:r>
      <w:proofErr w:type="spellStart"/>
      <w:r>
        <w:rPr>
          <w:rFonts w:ascii="Times New Roman" w:eastAsia="Times New Roman" w:hAnsi="Times New Roman"/>
          <w:sz w:val="21"/>
        </w:rPr>
        <w:t>bâtını</w:t>
      </w:r>
      <w:proofErr w:type="spellEnd"/>
      <w:r>
        <w:rPr>
          <w:rFonts w:ascii="Times New Roman" w:eastAsia="Times New Roman" w:hAnsi="Times New Roman"/>
          <w:sz w:val="21"/>
        </w:rPr>
        <w:t xml:space="preserve"> olduğu iddiasını da reddetmişlerdir. Böylece hicri üçüncü asırdan itibaren, bilinen </w:t>
      </w:r>
      <w:proofErr w:type="spellStart"/>
      <w:r>
        <w:rPr>
          <w:rFonts w:ascii="Times New Roman" w:eastAsia="Times New Roman" w:hAnsi="Times New Roman"/>
          <w:sz w:val="21"/>
        </w:rPr>
        <w:t>ehl</w:t>
      </w:r>
      <w:proofErr w:type="spellEnd"/>
      <w:r>
        <w:rPr>
          <w:rFonts w:ascii="Times New Roman" w:eastAsia="Times New Roman" w:hAnsi="Times New Roman"/>
          <w:sz w:val="21"/>
        </w:rPr>
        <w:t xml:space="preserve">-i hadis </w:t>
      </w:r>
      <w:proofErr w:type="spellStart"/>
      <w:r>
        <w:rPr>
          <w:rFonts w:ascii="Times New Roman" w:eastAsia="Times New Roman" w:hAnsi="Times New Roman"/>
          <w:sz w:val="21"/>
        </w:rPr>
        <w:t>ehl</w:t>
      </w:r>
      <w:proofErr w:type="spellEnd"/>
      <w:r>
        <w:rPr>
          <w:rFonts w:ascii="Times New Roman" w:eastAsia="Times New Roman" w:hAnsi="Times New Roman"/>
          <w:sz w:val="21"/>
        </w:rPr>
        <w:t xml:space="preserve">-i rey karşılaşması dışında yeni bir kutuplaşma daha ortaya çıkmıştır ki bu da </w:t>
      </w:r>
      <w:proofErr w:type="spellStart"/>
      <w:r>
        <w:rPr>
          <w:rFonts w:ascii="Times New Roman" w:eastAsia="Times New Roman" w:hAnsi="Times New Roman"/>
          <w:sz w:val="21"/>
        </w:rPr>
        <w:t>ehl</w:t>
      </w:r>
      <w:proofErr w:type="spellEnd"/>
      <w:r>
        <w:rPr>
          <w:rFonts w:ascii="Times New Roman" w:eastAsia="Times New Roman" w:hAnsi="Times New Roman"/>
          <w:sz w:val="21"/>
        </w:rPr>
        <w:t xml:space="preserve">-i </w:t>
      </w:r>
      <w:proofErr w:type="spellStart"/>
      <w:r>
        <w:rPr>
          <w:rFonts w:ascii="Times New Roman" w:eastAsia="Times New Roman" w:hAnsi="Times New Roman"/>
          <w:sz w:val="21"/>
        </w:rPr>
        <w:t>zâhir</w:t>
      </w:r>
      <w:proofErr w:type="spellEnd"/>
      <w:r>
        <w:rPr>
          <w:rFonts w:ascii="Times New Roman" w:eastAsia="Times New Roman" w:hAnsi="Times New Roman"/>
          <w:sz w:val="21"/>
        </w:rPr>
        <w:t xml:space="preserve"> ile </w:t>
      </w:r>
      <w:proofErr w:type="spellStart"/>
      <w:r>
        <w:rPr>
          <w:rFonts w:ascii="Times New Roman" w:eastAsia="Times New Roman" w:hAnsi="Times New Roman"/>
          <w:sz w:val="21"/>
        </w:rPr>
        <w:t>ehl</w:t>
      </w:r>
      <w:proofErr w:type="spellEnd"/>
      <w:r>
        <w:rPr>
          <w:rFonts w:ascii="Times New Roman" w:eastAsia="Times New Roman" w:hAnsi="Times New Roman"/>
          <w:sz w:val="21"/>
        </w:rPr>
        <w:t xml:space="preserve">-i </w:t>
      </w:r>
      <w:proofErr w:type="spellStart"/>
      <w:r>
        <w:rPr>
          <w:rFonts w:ascii="Times New Roman" w:eastAsia="Times New Roman" w:hAnsi="Times New Roman"/>
          <w:sz w:val="21"/>
        </w:rPr>
        <w:t>bâtındır</w:t>
      </w:r>
      <w:proofErr w:type="spellEnd"/>
      <w:r>
        <w:rPr>
          <w:rFonts w:ascii="Times New Roman" w:eastAsia="Times New Roman" w:hAnsi="Times New Roman"/>
          <w:sz w:val="21"/>
        </w:rPr>
        <w:t xml:space="preserve">. Bunlardan maksat, </w:t>
      </w:r>
      <w:proofErr w:type="spellStart"/>
      <w:r>
        <w:rPr>
          <w:rFonts w:ascii="Times New Roman" w:eastAsia="Times New Roman" w:hAnsi="Times New Roman"/>
          <w:sz w:val="21"/>
        </w:rPr>
        <w:t>fukahânın</w:t>
      </w:r>
      <w:proofErr w:type="spellEnd"/>
      <w:r>
        <w:rPr>
          <w:rFonts w:ascii="Times New Roman" w:eastAsia="Times New Roman" w:hAnsi="Times New Roman"/>
          <w:sz w:val="21"/>
        </w:rPr>
        <w:t xml:space="preserve"> bütünü ile tasavvufçulardır. Bu açıdan sadece </w:t>
      </w:r>
      <w:proofErr w:type="spellStart"/>
      <w:r>
        <w:rPr>
          <w:rFonts w:ascii="Times New Roman" w:eastAsia="Times New Roman" w:hAnsi="Times New Roman"/>
          <w:sz w:val="21"/>
        </w:rPr>
        <w:t>Dâvûd</w:t>
      </w:r>
      <w:proofErr w:type="spellEnd"/>
      <w:r>
        <w:rPr>
          <w:rFonts w:ascii="Times New Roman" w:eastAsia="Times New Roman" w:hAnsi="Times New Roman"/>
          <w:sz w:val="21"/>
        </w:rPr>
        <w:t xml:space="preserve"> ez-</w:t>
      </w:r>
      <w:proofErr w:type="spellStart"/>
      <w:r>
        <w:rPr>
          <w:rFonts w:ascii="Times New Roman" w:eastAsia="Times New Roman" w:hAnsi="Times New Roman"/>
          <w:sz w:val="21"/>
        </w:rPr>
        <w:t>Zâhirî</w:t>
      </w:r>
      <w:proofErr w:type="spellEnd"/>
      <w:r>
        <w:rPr>
          <w:rFonts w:ascii="Times New Roman" w:eastAsia="Times New Roman" w:hAnsi="Times New Roman"/>
          <w:sz w:val="21"/>
        </w:rPr>
        <w:t xml:space="preserve"> de-</w:t>
      </w:r>
      <w:proofErr w:type="spellStart"/>
      <w:r>
        <w:rPr>
          <w:rFonts w:ascii="Times New Roman" w:eastAsia="Times New Roman" w:hAnsi="Times New Roman"/>
          <w:sz w:val="21"/>
        </w:rPr>
        <w:t>ğil</w:t>
      </w:r>
      <w:proofErr w:type="spellEnd"/>
      <w:r>
        <w:rPr>
          <w:rFonts w:ascii="Times New Roman" w:eastAsia="Times New Roman" w:hAnsi="Times New Roman"/>
          <w:sz w:val="21"/>
        </w:rPr>
        <w:t xml:space="preserve">, aynı zamanda bütün </w:t>
      </w:r>
      <w:proofErr w:type="spellStart"/>
      <w:r>
        <w:rPr>
          <w:rFonts w:ascii="Times New Roman" w:eastAsia="Times New Roman" w:hAnsi="Times New Roman"/>
          <w:sz w:val="21"/>
        </w:rPr>
        <w:t>fukaha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ehl</w:t>
      </w:r>
      <w:proofErr w:type="spellEnd"/>
      <w:r>
        <w:rPr>
          <w:rFonts w:ascii="Times New Roman" w:eastAsia="Times New Roman" w:hAnsi="Times New Roman"/>
          <w:sz w:val="21"/>
        </w:rPr>
        <w:t xml:space="preserve">-i </w:t>
      </w:r>
      <w:proofErr w:type="spellStart"/>
      <w:r>
        <w:rPr>
          <w:rFonts w:ascii="Times New Roman" w:eastAsia="Times New Roman" w:hAnsi="Times New Roman"/>
          <w:sz w:val="21"/>
        </w:rPr>
        <w:t>zâhiri</w:t>
      </w:r>
      <w:proofErr w:type="spellEnd"/>
      <w:r>
        <w:rPr>
          <w:rFonts w:ascii="Times New Roman" w:eastAsia="Times New Roman" w:hAnsi="Times New Roman"/>
          <w:sz w:val="21"/>
        </w:rPr>
        <w:t xml:space="preserve"> (</w:t>
      </w:r>
      <w:proofErr w:type="spellStart"/>
      <w:r>
        <w:rPr>
          <w:rFonts w:ascii="Times New Roman" w:eastAsia="Times New Roman" w:hAnsi="Times New Roman"/>
          <w:sz w:val="21"/>
        </w:rPr>
        <w:t>zâhir</w:t>
      </w:r>
      <w:proofErr w:type="spellEnd"/>
      <w:r>
        <w:rPr>
          <w:rFonts w:ascii="Times New Roman" w:eastAsia="Times New Roman" w:hAnsi="Times New Roman"/>
          <w:sz w:val="21"/>
        </w:rPr>
        <w:t xml:space="preserve"> ulemasını) temsil etmiştir. Bu bakımdan </w:t>
      </w:r>
      <w:proofErr w:type="spellStart"/>
      <w:r>
        <w:rPr>
          <w:rFonts w:ascii="Times New Roman" w:eastAsia="Times New Roman" w:hAnsi="Times New Roman"/>
          <w:sz w:val="21"/>
        </w:rPr>
        <w:t>Dâvûd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bâtınî</w:t>
      </w:r>
      <w:proofErr w:type="spellEnd"/>
      <w:r>
        <w:rPr>
          <w:rFonts w:ascii="Times New Roman" w:eastAsia="Times New Roman" w:hAnsi="Times New Roman"/>
          <w:sz w:val="21"/>
        </w:rPr>
        <w:t xml:space="preserve"> düşünceye karşı olan </w:t>
      </w:r>
      <w:proofErr w:type="spellStart"/>
      <w:r>
        <w:rPr>
          <w:rFonts w:ascii="Times New Roman" w:eastAsia="Times New Roman" w:hAnsi="Times New Roman"/>
          <w:sz w:val="21"/>
        </w:rPr>
        <w:t>Zâhirîlikte</w:t>
      </w:r>
      <w:proofErr w:type="spellEnd"/>
      <w:r>
        <w:rPr>
          <w:rFonts w:ascii="Times New Roman" w:eastAsia="Times New Roman" w:hAnsi="Times New Roman"/>
          <w:sz w:val="21"/>
        </w:rPr>
        <w:t xml:space="preserve"> yalnız değildir. Onun tepki gördüğü husus, sadece </w:t>
      </w:r>
      <w:proofErr w:type="spellStart"/>
      <w:r>
        <w:rPr>
          <w:rFonts w:ascii="Times New Roman" w:eastAsia="Times New Roman" w:hAnsi="Times New Roman"/>
          <w:sz w:val="21"/>
        </w:rPr>
        <w:t>Kıyâs</w:t>
      </w:r>
      <w:proofErr w:type="spellEnd"/>
      <w:r>
        <w:rPr>
          <w:rFonts w:ascii="Times New Roman" w:eastAsia="Times New Roman" w:hAnsi="Times New Roman"/>
          <w:sz w:val="21"/>
        </w:rPr>
        <w:t xml:space="preserve"> ve </w:t>
      </w:r>
      <w:proofErr w:type="spellStart"/>
      <w:r>
        <w:rPr>
          <w:rFonts w:ascii="Times New Roman" w:eastAsia="Times New Roman" w:hAnsi="Times New Roman"/>
          <w:sz w:val="21"/>
        </w:rPr>
        <w:t>Re’y</w:t>
      </w:r>
      <w:proofErr w:type="spellEnd"/>
      <w:r>
        <w:rPr>
          <w:rFonts w:ascii="Times New Roman" w:eastAsia="Times New Roman" w:hAnsi="Times New Roman"/>
          <w:sz w:val="21"/>
        </w:rPr>
        <w:t xml:space="preserve"> karşısındaki </w:t>
      </w:r>
      <w:proofErr w:type="spellStart"/>
      <w:r>
        <w:rPr>
          <w:rFonts w:ascii="Times New Roman" w:eastAsia="Times New Roman" w:hAnsi="Times New Roman"/>
          <w:sz w:val="21"/>
        </w:rPr>
        <w:t>Zâhirîliğidir</w:t>
      </w:r>
      <w:proofErr w:type="spellEnd"/>
      <w:r>
        <w:rPr>
          <w:rFonts w:ascii="Times New Roman" w:eastAsia="Times New Roman" w:hAnsi="Times New Roman"/>
          <w:sz w:val="21"/>
        </w:rPr>
        <w:t>.</w:t>
      </w:r>
      <w:r>
        <w:rPr>
          <w:rFonts w:ascii="Times New Roman" w:eastAsia="Times New Roman" w:hAnsi="Times New Roman"/>
          <w:sz w:val="12"/>
        </w:rPr>
        <w:t>76</w:t>
      </w:r>
    </w:p>
    <w:p w:rsidR="0061338C" w:rsidRDefault="0061338C" w:rsidP="0061338C">
      <w:pPr>
        <w:spacing w:line="2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98" w:lineRule="auto"/>
        <w:ind w:firstLine="284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Aslında diğer mezheplerde de asgari düzeyde de olsa bir </w:t>
      </w:r>
      <w:proofErr w:type="spellStart"/>
      <w:r>
        <w:rPr>
          <w:rFonts w:ascii="Times New Roman" w:eastAsia="Times New Roman" w:hAnsi="Times New Roman"/>
          <w:sz w:val="21"/>
        </w:rPr>
        <w:t>Zâhirîlik</w:t>
      </w:r>
      <w:proofErr w:type="spellEnd"/>
      <w:r>
        <w:rPr>
          <w:rFonts w:ascii="Times New Roman" w:eastAsia="Times New Roman" w:hAnsi="Times New Roman"/>
          <w:sz w:val="21"/>
        </w:rPr>
        <w:t xml:space="preserve"> söz </w:t>
      </w:r>
      <w:proofErr w:type="spellStart"/>
      <w:r>
        <w:rPr>
          <w:rFonts w:ascii="Times New Roman" w:eastAsia="Times New Roman" w:hAnsi="Times New Roman"/>
          <w:sz w:val="21"/>
        </w:rPr>
        <w:t>ko</w:t>
      </w:r>
      <w:proofErr w:type="spellEnd"/>
      <w:r>
        <w:rPr>
          <w:rFonts w:ascii="Times New Roman" w:eastAsia="Times New Roman" w:hAnsi="Times New Roman"/>
          <w:sz w:val="21"/>
        </w:rPr>
        <w:t>-</w:t>
      </w:r>
      <w:proofErr w:type="spellStart"/>
      <w:r>
        <w:rPr>
          <w:rFonts w:ascii="Times New Roman" w:eastAsia="Times New Roman" w:hAnsi="Times New Roman"/>
          <w:sz w:val="21"/>
        </w:rPr>
        <w:t>nusudur</w:t>
      </w:r>
      <w:proofErr w:type="spellEnd"/>
      <w:r>
        <w:rPr>
          <w:rFonts w:ascii="Times New Roman" w:eastAsia="Times New Roman" w:hAnsi="Times New Roman"/>
          <w:sz w:val="21"/>
        </w:rPr>
        <w:t xml:space="preserve">. Nitekim onların </w:t>
      </w:r>
      <w:proofErr w:type="spellStart"/>
      <w:r>
        <w:rPr>
          <w:rFonts w:ascii="Times New Roman" w:eastAsia="Times New Roman" w:hAnsi="Times New Roman"/>
          <w:sz w:val="21"/>
        </w:rPr>
        <w:t>usûllerinde</w:t>
      </w:r>
      <w:proofErr w:type="spellEnd"/>
      <w:r>
        <w:rPr>
          <w:rFonts w:ascii="Times New Roman" w:eastAsia="Times New Roman" w:hAnsi="Times New Roman"/>
          <w:sz w:val="21"/>
        </w:rPr>
        <w:t xml:space="preserve"> de </w:t>
      </w:r>
      <w:proofErr w:type="spellStart"/>
      <w:r>
        <w:rPr>
          <w:rFonts w:ascii="Times New Roman" w:eastAsia="Times New Roman" w:hAnsi="Times New Roman"/>
          <w:sz w:val="21"/>
        </w:rPr>
        <w:t>zâhirin</w:t>
      </w:r>
      <w:proofErr w:type="spellEnd"/>
      <w:r>
        <w:rPr>
          <w:rFonts w:ascii="Times New Roman" w:eastAsia="Times New Roman" w:hAnsi="Times New Roman"/>
          <w:sz w:val="21"/>
        </w:rPr>
        <w:t xml:space="preserve"> asıl olduğu belirtilmektedir. Başka bir deyişle diğer </w:t>
      </w:r>
      <w:proofErr w:type="spellStart"/>
      <w:r>
        <w:rPr>
          <w:rFonts w:ascii="Times New Roman" w:eastAsia="Times New Roman" w:hAnsi="Times New Roman"/>
          <w:sz w:val="21"/>
        </w:rPr>
        <w:t>fıkhî</w:t>
      </w:r>
      <w:proofErr w:type="spellEnd"/>
      <w:r>
        <w:rPr>
          <w:rFonts w:ascii="Times New Roman" w:eastAsia="Times New Roman" w:hAnsi="Times New Roman"/>
          <w:sz w:val="21"/>
        </w:rPr>
        <w:t xml:space="preserve"> mezheplerde de </w:t>
      </w:r>
      <w:proofErr w:type="spellStart"/>
      <w:r>
        <w:rPr>
          <w:rFonts w:ascii="Times New Roman" w:eastAsia="Times New Roman" w:hAnsi="Times New Roman"/>
          <w:sz w:val="21"/>
        </w:rPr>
        <w:t>nass</w:t>
      </w:r>
      <w:proofErr w:type="spellEnd"/>
      <w:r>
        <w:rPr>
          <w:rFonts w:ascii="Times New Roman" w:eastAsia="Times New Roman" w:hAnsi="Times New Roman"/>
          <w:sz w:val="21"/>
        </w:rPr>
        <w:t xml:space="preserve"> ile sabit olan </w:t>
      </w:r>
      <w:proofErr w:type="spellStart"/>
      <w:r>
        <w:rPr>
          <w:rFonts w:ascii="Times New Roman" w:eastAsia="Times New Roman" w:hAnsi="Times New Roman"/>
          <w:sz w:val="21"/>
        </w:rPr>
        <w:t>zâhirî</w:t>
      </w:r>
      <w:proofErr w:type="spellEnd"/>
      <w:r>
        <w:rPr>
          <w:rFonts w:ascii="Times New Roman" w:eastAsia="Times New Roman" w:hAnsi="Times New Roman"/>
          <w:sz w:val="21"/>
        </w:rPr>
        <w:t xml:space="preserve"> mana asıldır. Ancak bu </w:t>
      </w:r>
      <w:proofErr w:type="spellStart"/>
      <w:r>
        <w:rPr>
          <w:rFonts w:ascii="Times New Roman" w:eastAsia="Times New Roman" w:hAnsi="Times New Roman"/>
          <w:sz w:val="21"/>
        </w:rPr>
        <w:t>zâhirî</w:t>
      </w:r>
      <w:proofErr w:type="spellEnd"/>
      <w:r>
        <w:rPr>
          <w:rFonts w:ascii="Times New Roman" w:eastAsia="Times New Roman" w:hAnsi="Times New Roman"/>
          <w:sz w:val="21"/>
        </w:rPr>
        <w:t xml:space="preserve"> anlamın aşılması başka bir </w:t>
      </w:r>
      <w:proofErr w:type="spellStart"/>
      <w:r>
        <w:rPr>
          <w:rFonts w:ascii="Times New Roman" w:eastAsia="Times New Roman" w:hAnsi="Times New Roman"/>
          <w:sz w:val="21"/>
        </w:rPr>
        <w:t>nassla</w:t>
      </w:r>
      <w:proofErr w:type="spellEnd"/>
      <w:r>
        <w:rPr>
          <w:rFonts w:ascii="Times New Roman" w:eastAsia="Times New Roman" w:hAnsi="Times New Roman"/>
          <w:sz w:val="21"/>
        </w:rPr>
        <w:t xml:space="preserve"> olabileceği gibi, </w:t>
      </w:r>
      <w:proofErr w:type="spellStart"/>
      <w:r>
        <w:rPr>
          <w:rFonts w:ascii="Times New Roman" w:eastAsia="Times New Roman" w:hAnsi="Times New Roman"/>
          <w:sz w:val="21"/>
        </w:rPr>
        <w:t>re’ye</w:t>
      </w:r>
      <w:proofErr w:type="spellEnd"/>
      <w:r>
        <w:rPr>
          <w:rFonts w:ascii="Times New Roman" w:eastAsia="Times New Roman" w:hAnsi="Times New Roman"/>
          <w:sz w:val="21"/>
        </w:rPr>
        <w:t xml:space="preserve"> dayalı unsurlar (</w:t>
      </w:r>
      <w:proofErr w:type="spellStart"/>
      <w:r>
        <w:rPr>
          <w:rFonts w:ascii="Times New Roman" w:eastAsia="Times New Roman" w:hAnsi="Times New Roman"/>
          <w:sz w:val="21"/>
        </w:rPr>
        <w:t>te’vîl</w:t>
      </w:r>
      <w:proofErr w:type="spellEnd"/>
      <w:r>
        <w:rPr>
          <w:rFonts w:ascii="Times New Roman" w:eastAsia="Times New Roman" w:hAnsi="Times New Roman"/>
          <w:sz w:val="21"/>
        </w:rPr>
        <w:t xml:space="preserve">) ile de olabilmektedir. Burada </w:t>
      </w:r>
      <w:proofErr w:type="spellStart"/>
      <w:r>
        <w:rPr>
          <w:rFonts w:ascii="Times New Roman" w:eastAsia="Times New Roman" w:hAnsi="Times New Roman"/>
          <w:sz w:val="21"/>
        </w:rPr>
        <w:t>Zâhirîlerin</w:t>
      </w:r>
      <w:proofErr w:type="spellEnd"/>
      <w:r>
        <w:rPr>
          <w:rFonts w:ascii="Times New Roman" w:eastAsia="Times New Roman" w:hAnsi="Times New Roman"/>
          <w:sz w:val="21"/>
        </w:rPr>
        <w:t xml:space="preserve"> karşı çıktığı şey ikincisi, yani </w:t>
      </w:r>
      <w:proofErr w:type="spellStart"/>
      <w:r>
        <w:rPr>
          <w:rFonts w:ascii="Times New Roman" w:eastAsia="Times New Roman" w:hAnsi="Times New Roman"/>
          <w:sz w:val="21"/>
        </w:rPr>
        <w:t>re’y</w:t>
      </w:r>
      <w:proofErr w:type="spellEnd"/>
      <w:r>
        <w:rPr>
          <w:rFonts w:ascii="Times New Roman" w:eastAsia="Times New Roman" w:hAnsi="Times New Roman"/>
          <w:sz w:val="21"/>
        </w:rPr>
        <w:t xml:space="preserve"> ile </w:t>
      </w:r>
      <w:proofErr w:type="spellStart"/>
      <w:r>
        <w:rPr>
          <w:rFonts w:ascii="Times New Roman" w:eastAsia="Times New Roman" w:hAnsi="Times New Roman"/>
          <w:sz w:val="21"/>
        </w:rPr>
        <w:t>zâhirin</w:t>
      </w:r>
      <w:proofErr w:type="spellEnd"/>
      <w:r>
        <w:rPr>
          <w:rFonts w:ascii="Times New Roman" w:eastAsia="Times New Roman" w:hAnsi="Times New Roman"/>
          <w:sz w:val="21"/>
        </w:rPr>
        <w:t xml:space="preserve"> tevil edilmesi ve aşılmasıdır. </w:t>
      </w:r>
      <w:proofErr w:type="spellStart"/>
      <w:r>
        <w:rPr>
          <w:rFonts w:ascii="Times New Roman" w:eastAsia="Times New Roman" w:hAnsi="Times New Roman"/>
          <w:sz w:val="21"/>
        </w:rPr>
        <w:t>Bâtınî</w:t>
      </w:r>
      <w:proofErr w:type="spellEnd"/>
      <w:r>
        <w:rPr>
          <w:rFonts w:ascii="Times New Roman" w:eastAsia="Times New Roman" w:hAnsi="Times New Roman"/>
          <w:sz w:val="21"/>
        </w:rPr>
        <w:t xml:space="preserve">/ </w:t>
      </w:r>
      <w:proofErr w:type="spellStart"/>
      <w:r>
        <w:rPr>
          <w:rFonts w:ascii="Times New Roman" w:eastAsia="Times New Roman" w:hAnsi="Times New Roman"/>
          <w:sz w:val="21"/>
        </w:rPr>
        <w:t>sufî</w:t>
      </w:r>
      <w:proofErr w:type="spellEnd"/>
      <w:r>
        <w:rPr>
          <w:rFonts w:ascii="Times New Roman" w:eastAsia="Times New Roman" w:hAnsi="Times New Roman"/>
          <w:sz w:val="21"/>
        </w:rPr>
        <w:t xml:space="preserve"> anlayışta ise zahir </w:t>
      </w:r>
      <w:proofErr w:type="spellStart"/>
      <w:r>
        <w:rPr>
          <w:rFonts w:ascii="Times New Roman" w:eastAsia="Times New Roman" w:hAnsi="Times New Roman"/>
          <w:sz w:val="21"/>
        </w:rPr>
        <w:t>asl</w:t>
      </w:r>
      <w:proofErr w:type="spellEnd"/>
      <w:r>
        <w:rPr>
          <w:rFonts w:ascii="Times New Roman" w:eastAsia="Times New Roman" w:hAnsi="Times New Roman"/>
          <w:sz w:val="21"/>
        </w:rPr>
        <w:t xml:space="preserve"> değil, sadece yüzeysel bir şeydir. </w:t>
      </w:r>
      <w:proofErr w:type="spellStart"/>
      <w:r>
        <w:rPr>
          <w:rFonts w:ascii="Times New Roman" w:eastAsia="Times New Roman" w:hAnsi="Times New Roman"/>
          <w:sz w:val="21"/>
        </w:rPr>
        <w:t>Asl</w:t>
      </w:r>
      <w:proofErr w:type="spellEnd"/>
      <w:r>
        <w:rPr>
          <w:rFonts w:ascii="Times New Roman" w:eastAsia="Times New Roman" w:hAnsi="Times New Roman"/>
          <w:sz w:val="21"/>
        </w:rPr>
        <w:t xml:space="preserve"> olan </w:t>
      </w:r>
      <w:proofErr w:type="spellStart"/>
      <w:r>
        <w:rPr>
          <w:rFonts w:ascii="Times New Roman" w:eastAsia="Times New Roman" w:hAnsi="Times New Roman"/>
          <w:sz w:val="21"/>
        </w:rPr>
        <w:t>bâtındaki</w:t>
      </w:r>
      <w:proofErr w:type="spellEnd"/>
      <w:r>
        <w:rPr>
          <w:rFonts w:ascii="Times New Roman" w:eastAsia="Times New Roman" w:hAnsi="Times New Roman"/>
          <w:sz w:val="21"/>
        </w:rPr>
        <w:t xml:space="preserve"> hakikate ya da </w:t>
      </w:r>
      <w:proofErr w:type="spellStart"/>
      <w:r>
        <w:rPr>
          <w:rFonts w:ascii="Times New Roman" w:eastAsia="Times New Roman" w:hAnsi="Times New Roman"/>
          <w:sz w:val="21"/>
        </w:rPr>
        <w:t>mânâya</w:t>
      </w:r>
      <w:proofErr w:type="spellEnd"/>
      <w:r>
        <w:rPr>
          <w:rFonts w:ascii="Times New Roman" w:eastAsia="Times New Roman" w:hAnsi="Times New Roman"/>
          <w:sz w:val="21"/>
        </w:rPr>
        <w:t xml:space="preserve"> ulaşabilmektir. Burada şu yorumu yapmak da </w:t>
      </w:r>
      <w:proofErr w:type="spellStart"/>
      <w:r>
        <w:rPr>
          <w:rFonts w:ascii="Times New Roman" w:eastAsia="Times New Roman" w:hAnsi="Times New Roman"/>
          <w:sz w:val="21"/>
        </w:rPr>
        <w:t>müm</w:t>
      </w:r>
      <w:proofErr w:type="spellEnd"/>
      <w:r>
        <w:rPr>
          <w:rFonts w:ascii="Times New Roman" w:eastAsia="Times New Roman" w:hAnsi="Times New Roman"/>
          <w:sz w:val="21"/>
        </w:rPr>
        <w:t>-</w:t>
      </w:r>
      <w:proofErr w:type="spellStart"/>
      <w:r>
        <w:rPr>
          <w:rFonts w:ascii="Times New Roman" w:eastAsia="Times New Roman" w:hAnsi="Times New Roman"/>
          <w:sz w:val="21"/>
        </w:rPr>
        <w:t>kündür</w:t>
      </w:r>
      <w:proofErr w:type="spellEnd"/>
      <w:r>
        <w:rPr>
          <w:rFonts w:ascii="Times New Roman" w:eastAsia="Times New Roman" w:hAnsi="Times New Roman"/>
          <w:sz w:val="21"/>
        </w:rPr>
        <w:t xml:space="preserve">: </w:t>
      </w:r>
      <w:proofErr w:type="spellStart"/>
      <w:r>
        <w:rPr>
          <w:rFonts w:ascii="Times New Roman" w:eastAsia="Times New Roman" w:hAnsi="Times New Roman"/>
          <w:sz w:val="21"/>
        </w:rPr>
        <w:t>Bâtınîlerin</w:t>
      </w:r>
      <w:proofErr w:type="spellEnd"/>
      <w:r>
        <w:rPr>
          <w:rFonts w:ascii="Times New Roman" w:eastAsia="Times New Roman" w:hAnsi="Times New Roman"/>
          <w:sz w:val="21"/>
        </w:rPr>
        <w:t xml:space="preserve"> ve Şia’nın, </w:t>
      </w:r>
      <w:proofErr w:type="spellStart"/>
      <w:r>
        <w:rPr>
          <w:rFonts w:ascii="Times New Roman" w:eastAsia="Times New Roman" w:hAnsi="Times New Roman"/>
          <w:sz w:val="21"/>
        </w:rPr>
        <w:t>zâhirî</w:t>
      </w:r>
      <w:proofErr w:type="spellEnd"/>
      <w:r>
        <w:rPr>
          <w:rFonts w:ascii="Times New Roman" w:eastAsia="Times New Roman" w:hAnsi="Times New Roman"/>
          <w:sz w:val="21"/>
        </w:rPr>
        <w:t xml:space="preserve"> dışlayarak </w:t>
      </w:r>
      <w:proofErr w:type="spellStart"/>
      <w:r>
        <w:rPr>
          <w:rFonts w:ascii="Times New Roman" w:eastAsia="Times New Roman" w:hAnsi="Times New Roman"/>
          <w:sz w:val="21"/>
        </w:rPr>
        <w:t>bâtınî</w:t>
      </w:r>
      <w:proofErr w:type="spellEnd"/>
      <w:r>
        <w:rPr>
          <w:rFonts w:ascii="Times New Roman" w:eastAsia="Times New Roman" w:hAnsi="Times New Roman"/>
          <w:sz w:val="21"/>
        </w:rPr>
        <w:t xml:space="preserve"> tevile başvurmalarının gerekçesi, bulmak istediklerini </w:t>
      </w:r>
      <w:proofErr w:type="spellStart"/>
      <w:r>
        <w:rPr>
          <w:rFonts w:ascii="Times New Roman" w:eastAsia="Times New Roman" w:hAnsi="Times New Roman"/>
          <w:sz w:val="21"/>
        </w:rPr>
        <w:t>nassların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zâhirinde</w:t>
      </w:r>
      <w:proofErr w:type="spellEnd"/>
      <w:r>
        <w:rPr>
          <w:rFonts w:ascii="Times New Roman" w:eastAsia="Times New Roman" w:hAnsi="Times New Roman"/>
          <w:sz w:val="21"/>
        </w:rPr>
        <w:t xml:space="preserve"> bulamayışları olabilir. Baş-</w:t>
      </w:r>
      <w:proofErr w:type="spellStart"/>
      <w:r>
        <w:rPr>
          <w:rFonts w:ascii="Times New Roman" w:eastAsia="Times New Roman" w:hAnsi="Times New Roman"/>
          <w:sz w:val="21"/>
        </w:rPr>
        <w:t>ka</w:t>
      </w:r>
      <w:proofErr w:type="spellEnd"/>
      <w:r>
        <w:rPr>
          <w:rFonts w:ascii="Times New Roman" w:eastAsia="Times New Roman" w:hAnsi="Times New Roman"/>
          <w:sz w:val="21"/>
        </w:rPr>
        <w:t xml:space="preserve"> bir deyişle </w:t>
      </w:r>
      <w:proofErr w:type="spellStart"/>
      <w:r>
        <w:rPr>
          <w:rFonts w:ascii="Times New Roman" w:eastAsia="Times New Roman" w:hAnsi="Times New Roman"/>
          <w:sz w:val="21"/>
        </w:rPr>
        <w:t>zâhirin</w:t>
      </w:r>
      <w:proofErr w:type="spellEnd"/>
      <w:r>
        <w:rPr>
          <w:rFonts w:ascii="Times New Roman" w:eastAsia="Times New Roman" w:hAnsi="Times New Roman"/>
          <w:sz w:val="21"/>
        </w:rPr>
        <w:t xml:space="preserve"> terki, prensipten (</w:t>
      </w:r>
      <w:proofErr w:type="spellStart"/>
      <w:r>
        <w:rPr>
          <w:rFonts w:ascii="Times New Roman" w:eastAsia="Times New Roman" w:hAnsi="Times New Roman"/>
          <w:sz w:val="21"/>
        </w:rPr>
        <w:t>nasstan</w:t>
      </w:r>
      <w:proofErr w:type="spellEnd"/>
      <w:r>
        <w:rPr>
          <w:rFonts w:ascii="Times New Roman" w:eastAsia="Times New Roman" w:hAnsi="Times New Roman"/>
          <w:sz w:val="21"/>
        </w:rPr>
        <w:t>) vakıaya doğru değil de vakıa-</w:t>
      </w:r>
      <w:proofErr w:type="gramStart"/>
      <w:r>
        <w:rPr>
          <w:rFonts w:ascii="Times New Roman" w:eastAsia="Times New Roman" w:hAnsi="Times New Roman"/>
          <w:sz w:val="21"/>
        </w:rPr>
        <w:t>dan</w:t>
      </w:r>
      <w:proofErr w:type="gramEnd"/>
      <w:r>
        <w:rPr>
          <w:rFonts w:ascii="Times New Roman" w:eastAsia="Times New Roman" w:hAnsi="Times New Roman"/>
          <w:sz w:val="21"/>
        </w:rPr>
        <w:t xml:space="preserve"> prensiplere doğru giden bir düşünce seyrinin sonucu olabilir.</w:t>
      </w:r>
    </w:p>
    <w:p w:rsidR="0061338C" w:rsidRDefault="0061338C" w:rsidP="0061338C">
      <w:pPr>
        <w:spacing w:line="2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309" w:lineRule="auto"/>
        <w:ind w:firstLine="283"/>
        <w:jc w:val="both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Dâvûd’un</w:t>
      </w:r>
      <w:proofErr w:type="spellEnd"/>
      <w:r>
        <w:rPr>
          <w:rFonts w:ascii="Times New Roman" w:eastAsia="Times New Roman" w:hAnsi="Times New Roman"/>
          <w:sz w:val="21"/>
        </w:rPr>
        <w:t xml:space="preserve"> ortaya koymuş olduğu düşünceyi daha önce mensubu olduğu </w:t>
      </w:r>
      <w:proofErr w:type="spellStart"/>
      <w:r>
        <w:rPr>
          <w:rFonts w:ascii="Times New Roman" w:eastAsia="Times New Roman" w:hAnsi="Times New Roman"/>
          <w:sz w:val="21"/>
        </w:rPr>
        <w:t>Şâfiî</w:t>
      </w:r>
      <w:proofErr w:type="spellEnd"/>
      <w:r>
        <w:rPr>
          <w:rFonts w:ascii="Times New Roman" w:eastAsia="Times New Roman" w:hAnsi="Times New Roman"/>
          <w:sz w:val="21"/>
        </w:rPr>
        <w:t xml:space="preserve"> mezhebi ile ilişkilendirerek anlamaya ve açıklamaya çalışanlar da vardır. Bu açıdan </w:t>
      </w:r>
      <w:proofErr w:type="spellStart"/>
      <w:r>
        <w:rPr>
          <w:rFonts w:ascii="Times New Roman" w:eastAsia="Times New Roman" w:hAnsi="Times New Roman"/>
          <w:sz w:val="21"/>
        </w:rPr>
        <w:t>Dâvûd’un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Şâfiî’ye</w:t>
      </w:r>
      <w:proofErr w:type="spellEnd"/>
      <w:r>
        <w:rPr>
          <w:rFonts w:ascii="Times New Roman" w:eastAsia="Times New Roman" w:hAnsi="Times New Roman"/>
          <w:sz w:val="21"/>
        </w:rPr>
        <w:t xml:space="preserve"> tamamen muhalif olmadığı ve onun çağrısının, Şafii mezhebinin bir tashihi niteliğinde olduğu iddia edilmiştir.</w:t>
      </w:r>
      <w:r>
        <w:rPr>
          <w:rFonts w:ascii="Times New Roman" w:eastAsia="Times New Roman" w:hAnsi="Times New Roman"/>
          <w:sz w:val="12"/>
        </w:rPr>
        <w:t>77</w:t>
      </w:r>
      <w:r>
        <w:rPr>
          <w:rFonts w:ascii="Times New Roman" w:eastAsia="Times New Roman" w:hAnsi="Times New Roman"/>
          <w:sz w:val="21"/>
        </w:rPr>
        <w:t xml:space="preserve"> Buna göre </w:t>
      </w:r>
      <w:proofErr w:type="spellStart"/>
      <w:r>
        <w:rPr>
          <w:rFonts w:ascii="Times New Roman" w:eastAsia="Times New Roman" w:hAnsi="Times New Roman"/>
          <w:sz w:val="21"/>
        </w:rPr>
        <w:t>Dâvûd’un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Zâhirîliği</w:t>
      </w:r>
      <w:proofErr w:type="spellEnd"/>
      <w:r>
        <w:rPr>
          <w:rFonts w:ascii="Times New Roman" w:eastAsia="Times New Roman" w:hAnsi="Times New Roman"/>
          <w:sz w:val="21"/>
        </w:rPr>
        <w:t>, orijinal olmayıp sadece mevcut olan bir anlayışın tashih</w:t>
      </w:r>
    </w:p>
    <w:p w:rsidR="0061338C" w:rsidRDefault="0061338C" w:rsidP="0061338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pict>
          <v:line id="_x0000_s1026" style="position:absolute;z-index:-251658240" from=".15pt,17.05pt" to="141.9pt,17.05pt" o:userdrawn="t" strokeweight=".25pt"/>
        </w:pict>
      </w:r>
    </w:p>
    <w:p w:rsidR="0061338C" w:rsidRDefault="0061338C" w:rsidP="0061338C">
      <w:pPr>
        <w:spacing w:line="20" w:lineRule="exact"/>
        <w:rPr>
          <w:rFonts w:ascii="Times New Roman" w:eastAsia="Times New Roman" w:hAnsi="Times New Roman"/>
        </w:rPr>
        <w:sectPr w:rsidR="0061338C">
          <w:pgSz w:w="9240" w:h="13663"/>
          <w:pgMar w:top="1237" w:right="1141" w:bottom="699" w:left="1300" w:header="0" w:footer="0" w:gutter="0"/>
          <w:cols w:space="0" w:equalWidth="0">
            <w:col w:w="6800"/>
          </w:cols>
          <w:docGrid w:linePitch="360"/>
        </w:sectPr>
      </w:pPr>
    </w:p>
    <w:p w:rsidR="0061338C" w:rsidRDefault="0061338C" w:rsidP="0061338C">
      <w:pPr>
        <w:spacing w:line="371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62" w:lineRule="auto"/>
        <w:ind w:left="240" w:hanging="226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76 </w:t>
      </w:r>
      <w:proofErr w:type="spellStart"/>
      <w:r>
        <w:rPr>
          <w:rFonts w:ascii="Times New Roman" w:eastAsia="Times New Roman" w:hAnsi="Times New Roman"/>
          <w:sz w:val="16"/>
        </w:rPr>
        <w:t>Sâlim</w:t>
      </w:r>
      <w:proofErr w:type="spellEnd"/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Yefût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16"/>
        </w:rPr>
        <w:t>İbn</w:t>
      </w:r>
      <w:proofErr w:type="spellEnd"/>
      <w:r>
        <w:rPr>
          <w:rFonts w:ascii="Times New Roman" w:eastAsia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16"/>
        </w:rPr>
        <w:t>Hazm</w:t>
      </w:r>
      <w:proofErr w:type="spellEnd"/>
      <w:r>
        <w:rPr>
          <w:rFonts w:ascii="Times New Roman" w:eastAsia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16"/>
        </w:rPr>
        <w:t>ve’l</w:t>
      </w:r>
      <w:proofErr w:type="spellEnd"/>
      <w:r>
        <w:rPr>
          <w:rFonts w:ascii="Times New Roman" w:eastAsia="Times New Roman" w:hAnsi="Times New Roman"/>
          <w:i/>
          <w:sz w:val="16"/>
        </w:rPr>
        <w:t>-</w:t>
      </w:r>
      <w:proofErr w:type="spellStart"/>
      <w:r>
        <w:rPr>
          <w:rFonts w:ascii="Times New Roman" w:eastAsia="Times New Roman" w:hAnsi="Times New Roman"/>
          <w:i/>
          <w:sz w:val="16"/>
        </w:rPr>
        <w:t>Fikru’l</w:t>
      </w:r>
      <w:proofErr w:type="spellEnd"/>
      <w:r>
        <w:rPr>
          <w:rFonts w:ascii="Times New Roman" w:eastAsia="Times New Roman" w:hAnsi="Times New Roman"/>
          <w:i/>
          <w:sz w:val="16"/>
        </w:rPr>
        <w:t xml:space="preserve">-Felsefî </w:t>
      </w:r>
      <w:proofErr w:type="spellStart"/>
      <w:r>
        <w:rPr>
          <w:rFonts w:ascii="Times New Roman" w:eastAsia="Times New Roman" w:hAnsi="Times New Roman"/>
          <w:i/>
          <w:sz w:val="16"/>
        </w:rPr>
        <w:t>bi’l</w:t>
      </w:r>
      <w:proofErr w:type="spellEnd"/>
      <w:r>
        <w:rPr>
          <w:rFonts w:ascii="Times New Roman" w:eastAsia="Times New Roman" w:hAnsi="Times New Roman"/>
          <w:i/>
          <w:sz w:val="16"/>
        </w:rPr>
        <w:t>-</w:t>
      </w:r>
      <w:proofErr w:type="spellStart"/>
      <w:r>
        <w:rPr>
          <w:rFonts w:ascii="Times New Roman" w:eastAsia="Times New Roman" w:hAnsi="Times New Roman"/>
          <w:i/>
          <w:sz w:val="16"/>
        </w:rPr>
        <w:t>Mağrib</w:t>
      </w:r>
      <w:proofErr w:type="spellEnd"/>
      <w:r>
        <w:rPr>
          <w:rFonts w:ascii="Times New Roman" w:eastAsia="Times New Roman" w:hAnsi="Times New Roman"/>
          <w:i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16"/>
        </w:rPr>
        <w:t>ve’l</w:t>
      </w:r>
      <w:proofErr w:type="spellEnd"/>
      <w:r>
        <w:rPr>
          <w:rFonts w:ascii="Times New Roman" w:eastAsia="Times New Roman" w:hAnsi="Times New Roman"/>
          <w:i/>
          <w:sz w:val="16"/>
        </w:rPr>
        <w:t>-</w:t>
      </w:r>
      <w:proofErr w:type="spellStart"/>
      <w:r>
        <w:rPr>
          <w:rFonts w:ascii="Times New Roman" w:eastAsia="Times New Roman" w:hAnsi="Times New Roman"/>
          <w:i/>
          <w:sz w:val="16"/>
        </w:rPr>
        <w:t>Endelüs</w:t>
      </w:r>
      <w:proofErr w:type="spellEnd"/>
      <w:r>
        <w:rPr>
          <w:rFonts w:ascii="Times New Roman" w:eastAsia="Times New Roman" w:hAnsi="Times New Roman"/>
          <w:sz w:val="16"/>
        </w:rPr>
        <w:t>, el-</w:t>
      </w:r>
      <w:proofErr w:type="spellStart"/>
      <w:r>
        <w:rPr>
          <w:rFonts w:ascii="Times New Roman" w:eastAsia="Times New Roman" w:hAnsi="Times New Roman"/>
          <w:sz w:val="16"/>
        </w:rPr>
        <w:t>Merkezu’s</w:t>
      </w:r>
      <w:proofErr w:type="spellEnd"/>
      <w:r>
        <w:rPr>
          <w:rFonts w:ascii="Times New Roman" w:eastAsia="Times New Roman" w:hAnsi="Times New Roman"/>
          <w:sz w:val="16"/>
        </w:rPr>
        <w:t>-</w:t>
      </w:r>
      <w:proofErr w:type="spellStart"/>
      <w:r>
        <w:rPr>
          <w:rFonts w:ascii="Times New Roman" w:eastAsia="Times New Roman" w:hAnsi="Times New Roman"/>
          <w:sz w:val="16"/>
        </w:rPr>
        <w:t>Sekâfiyyu’l</w:t>
      </w:r>
      <w:proofErr w:type="spellEnd"/>
      <w:r>
        <w:rPr>
          <w:rFonts w:ascii="Times New Roman" w:eastAsia="Times New Roman" w:hAnsi="Times New Roman"/>
          <w:sz w:val="16"/>
        </w:rPr>
        <w:t>-Arabî, ed-</w:t>
      </w:r>
      <w:proofErr w:type="spellStart"/>
      <w:r>
        <w:rPr>
          <w:rFonts w:ascii="Times New Roman" w:eastAsia="Times New Roman" w:hAnsi="Times New Roman"/>
          <w:sz w:val="16"/>
        </w:rPr>
        <w:t>Dâru’l</w:t>
      </w:r>
      <w:proofErr w:type="spellEnd"/>
      <w:r>
        <w:rPr>
          <w:rFonts w:ascii="Times New Roman" w:eastAsia="Times New Roman" w:hAnsi="Times New Roman"/>
          <w:sz w:val="16"/>
        </w:rPr>
        <w:t>-</w:t>
      </w:r>
      <w:proofErr w:type="spellStart"/>
      <w:r>
        <w:rPr>
          <w:rFonts w:ascii="Times New Roman" w:eastAsia="Times New Roman" w:hAnsi="Times New Roman"/>
          <w:sz w:val="16"/>
        </w:rPr>
        <w:t>Beydâ</w:t>
      </w:r>
      <w:proofErr w:type="spellEnd"/>
      <w:r>
        <w:rPr>
          <w:rFonts w:ascii="Times New Roman" w:eastAsia="Times New Roman" w:hAnsi="Times New Roman"/>
          <w:sz w:val="16"/>
        </w:rPr>
        <w:t>, 1986, s. 91.</w:t>
      </w:r>
    </w:p>
    <w:p w:rsidR="0061338C" w:rsidRDefault="0061338C" w:rsidP="0061338C">
      <w:pPr>
        <w:spacing w:line="1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77 </w:t>
      </w:r>
      <w:proofErr w:type="spellStart"/>
      <w:r>
        <w:rPr>
          <w:rFonts w:ascii="Times New Roman" w:eastAsia="Times New Roman" w:hAnsi="Times New Roman"/>
          <w:sz w:val="16"/>
        </w:rPr>
        <w:t>Yefût</w:t>
      </w:r>
      <w:proofErr w:type="spellEnd"/>
      <w:r>
        <w:rPr>
          <w:rFonts w:ascii="Times New Roman" w:eastAsia="Times New Roman" w:hAnsi="Times New Roman"/>
          <w:sz w:val="16"/>
        </w:rPr>
        <w:t>, s. 92.</w:t>
      </w:r>
    </w:p>
    <w:p w:rsidR="0061338C" w:rsidRDefault="0061338C" w:rsidP="0061338C">
      <w:pPr>
        <w:spacing w:line="0" w:lineRule="atLeast"/>
        <w:rPr>
          <w:rFonts w:ascii="Times New Roman" w:eastAsia="Times New Roman" w:hAnsi="Times New Roman"/>
          <w:sz w:val="16"/>
        </w:rPr>
        <w:sectPr w:rsidR="0061338C">
          <w:type w:val="continuous"/>
          <w:pgSz w:w="9240" w:h="13663"/>
          <w:pgMar w:top="1237" w:right="1141" w:bottom="699" w:left="1300" w:header="0" w:footer="0" w:gutter="0"/>
          <w:cols w:space="0" w:equalWidth="0">
            <w:col w:w="6800"/>
          </w:cols>
          <w:docGrid w:linePitch="360"/>
        </w:sect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20"/>
        <w:gridCol w:w="1480"/>
      </w:tblGrid>
      <w:tr w:rsidR="0061338C" w:rsidTr="000C5968">
        <w:trPr>
          <w:trHeight w:val="234"/>
        </w:trPr>
        <w:tc>
          <w:tcPr>
            <w:tcW w:w="532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rPr>
                <w:rFonts w:ascii="Times New Roman" w:eastAsia="Times New Roman" w:hAnsi="Times New Roman"/>
                <w:i/>
                <w:sz w:val="14"/>
              </w:rPr>
            </w:pPr>
            <w:bookmarkStart w:id="0" w:name="page17"/>
            <w:bookmarkEnd w:id="0"/>
            <w:r>
              <w:rPr>
                <w:rFonts w:ascii="Times New Roman" w:eastAsia="Times New Roman" w:hAnsi="Times New Roman"/>
                <w:i/>
                <w:sz w:val="14"/>
              </w:rPr>
              <w:lastRenderedPageBreak/>
              <w:t xml:space="preserve">Kökeni Oluşumu ve Algılanışı Bakımından </w:t>
            </w:r>
            <w:proofErr w:type="spellStart"/>
            <w:r>
              <w:rPr>
                <w:rFonts w:ascii="Times New Roman" w:eastAsia="Times New Roman" w:hAnsi="Times New Roman"/>
                <w:i/>
                <w:sz w:val="14"/>
              </w:rPr>
              <w:t>İbn</w:t>
            </w:r>
            <w:proofErr w:type="spellEnd"/>
            <w:r>
              <w:rPr>
                <w:rFonts w:ascii="Times New Roman" w:eastAsia="Times New Roman" w:hAnsi="Times New Roman"/>
                <w:i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14"/>
              </w:rPr>
              <w:t>Hazm</w:t>
            </w:r>
            <w:proofErr w:type="spellEnd"/>
            <w:r>
              <w:rPr>
                <w:rFonts w:ascii="Times New Roman" w:eastAsia="Times New Roman" w:hAnsi="Times New Roman"/>
                <w:i/>
                <w:sz w:val="14"/>
              </w:rPr>
              <w:t xml:space="preserve"> Öncesinde </w:t>
            </w:r>
            <w:proofErr w:type="spellStart"/>
            <w:r>
              <w:rPr>
                <w:rFonts w:ascii="Times New Roman" w:eastAsia="Times New Roman" w:hAnsi="Times New Roman"/>
                <w:i/>
                <w:sz w:val="14"/>
              </w:rPr>
              <w:t>Zâhirîlik</w:t>
            </w:r>
            <w:proofErr w:type="spellEnd"/>
          </w:p>
        </w:tc>
        <w:tc>
          <w:tcPr>
            <w:tcW w:w="148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jc w:val="righ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153</w:t>
            </w:r>
          </w:p>
        </w:tc>
      </w:tr>
    </w:tbl>
    <w:p w:rsidR="0061338C" w:rsidRDefault="0061338C" w:rsidP="0061338C">
      <w:pPr>
        <w:spacing w:line="200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00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04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95" w:lineRule="auto"/>
        <w:ind w:left="6"/>
        <w:jc w:val="both"/>
        <w:rPr>
          <w:rFonts w:ascii="Times New Roman" w:eastAsia="Times New Roman" w:hAnsi="Times New Roman"/>
          <w:sz w:val="12"/>
        </w:rPr>
      </w:pPr>
      <w:proofErr w:type="gramStart"/>
      <w:r>
        <w:rPr>
          <w:rFonts w:ascii="Times New Roman" w:eastAsia="Times New Roman" w:hAnsi="Times New Roman"/>
          <w:sz w:val="22"/>
        </w:rPr>
        <w:t>edilerek</w:t>
      </w:r>
      <w:proofErr w:type="gramEnd"/>
      <w:r>
        <w:rPr>
          <w:rFonts w:ascii="Times New Roman" w:eastAsia="Times New Roman" w:hAnsi="Times New Roman"/>
          <w:sz w:val="22"/>
        </w:rPr>
        <w:t xml:space="preserve"> müdafaa edilmesi çerçevesinde kalmıştır. Yani </w:t>
      </w:r>
      <w:proofErr w:type="spellStart"/>
      <w:r>
        <w:rPr>
          <w:rFonts w:ascii="Times New Roman" w:eastAsia="Times New Roman" w:hAnsi="Times New Roman"/>
          <w:sz w:val="22"/>
        </w:rPr>
        <w:t>Dâvûd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İbn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Hazm’ın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Zâhirîlik</w:t>
      </w:r>
      <w:proofErr w:type="spellEnd"/>
      <w:r>
        <w:rPr>
          <w:rFonts w:ascii="Times New Roman" w:eastAsia="Times New Roman" w:hAnsi="Times New Roman"/>
          <w:sz w:val="22"/>
        </w:rPr>
        <w:t xml:space="preserve"> anlayışından farklı olarak </w:t>
      </w:r>
      <w:proofErr w:type="spellStart"/>
      <w:r>
        <w:rPr>
          <w:rFonts w:ascii="Times New Roman" w:eastAsia="Times New Roman" w:hAnsi="Times New Roman"/>
          <w:sz w:val="22"/>
        </w:rPr>
        <w:t>Şâfiî’nin</w:t>
      </w:r>
      <w:proofErr w:type="spellEnd"/>
      <w:r>
        <w:rPr>
          <w:rFonts w:ascii="Times New Roman" w:eastAsia="Times New Roman" w:hAnsi="Times New Roman"/>
          <w:sz w:val="22"/>
        </w:rPr>
        <w:t xml:space="preserve"> anlayışı dışına çıkmış değildir. Sadece onu kısmen tadil etmeye çalışmıştır. </w:t>
      </w:r>
      <w:proofErr w:type="spellStart"/>
      <w:r>
        <w:rPr>
          <w:rFonts w:ascii="Times New Roman" w:eastAsia="Times New Roman" w:hAnsi="Times New Roman"/>
          <w:sz w:val="22"/>
        </w:rPr>
        <w:t>İbn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Hazm’ın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Zâhirîliği</w:t>
      </w:r>
      <w:proofErr w:type="spellEnd"/>
      <w:r>
        <w:rPr>
          <w:rFonts w:ascii="Times New Roman" w:eastAsia="Times New Roman" w:hAnsi="Times New Roman"/>
          <w:sz w:val="22"/>
        </w:rPr>
        <w:t xml:space="preserve"> ise, daha bağımsız ve </w:t>
      </w:r>
      <w:proofErr w:type="gramStart"/>
      <w:r>
        <w:rPr>
          <w:rFonts w:ascii="Times New Roman" w:eastAsia="Times New Roman" w:hAnsi="Times New Roman"/>
          <w:sz w:val="22"/>
        </w:rPr>
        <w:t>mütekamildir</w:t>
      </w:r>
      <w:proofErr w:type="gramEnd"/>
      <w:r>
        <w:rPr>
          <w:rFonts w:ascii="Times New Roman" w:eastAsia="Times New Roman" w:hAnsi="Times New Roman"/>
          <w:sz w:val="22"/>
        </w:rPr>
        <w:t>. Ayrıca muhalif istekler taşımaktadır.</w:t>
      </w:r>
      <w:r>
        <w:rPr>
          <w:rFonts w:ascii="Times New Roman" w:eastAsia="Times New Roman" w:hAnsi="Times New Roman"/>
          <w:sz w:val="12"/>
        </w:rPr>
        <w:t>78</w:t>
      </w:r>
    </w:p>
    <w:p w:rsidR="0061338C" w:rsidRDefault="0061338C" w:rsidP="0061338C">
      <w:pPr>
        <w:spacing w:line="236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0" w:lineRule="atLeast"/>
        <w:ind w:left="286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Dâvûd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b. </w:t>
      </w:r>
      <w:proofErr w:type="spellStart"/>
      <w:r>
        <w:rPr>
          <w:rFonts w:ascii="Times New Roman" w:eastAsia="Times New Roman" w:hAnsi="Times New Roman"/>
          <w:b/>
          <w:sz w:val="22"/>
        </w:rPr>
        <w:t>Alî’nin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Zâhirîliğine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Yönelik Tepkiler</w:t>
      </w:r>
    </w:p>
    <w:p w:rsidR="0061338C" w:rsidRDefault="0061338C" w:rsidP="0061338C">
      <w:pPr>
        <w:spacing w:line="51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84" w:lineRule="auto"/>
        <w:ind w:left="6" w:firstLine="284"/>
        <w:jc w:val="both"/>
        <w:rPr>
          <w:rFonts w:ascii="Times New Roman" w:eastAsia="Times New Roman" w:hAnsi="Times New Roman"/>
          <w:sz w:val="12"/>
        </w:rPr>
      </w:pPr>
      <w:proofErr w:type="spellStart"/>
      <w:r>
        <w:rPr>
          <w:rFonts w:ascii="Times New Roman" w:eastAsia="Times New Roman" w:hAnsi="Times New Roman"/>
          <w:sz w:val="22"/>
        </w:rPr>
        <w:t>Zâhirî</w:t>
      </w:r>
      <w:proofErr w:type="spellEnd"/>
      <w:r>
        <w:rPr>
          <w:rFonts w:ascii="Times New Roman" w:eastAsia="Times New Roman" w:hAnsi="Times New Roman"/>
          <w:sz w:val="22"/>
        </w:rPr>
        <w:t xml:space="preserve"> mezhebinin ne kadar dikkate alınması gerektiği, </w:t>
      </w:r>
      <w:proofErr w:type="spellStart"/>
      <w:r>
        <w:rPr>
          <w:rFonts w:ascii="Times New Roman" w:eastAsia="Times New Roman" w:hAnsi="Times New Roman"/>
          <w:sz w:val="22"/>
        </w:rPr>
        <w:t>usûlcü</w:t>
      </w:r>
      <w:proofErr w:type="spellEnd"/>
      <w:r>
        <w:rPr>
          <w:rFonts w:ascii="Times New Roman" w:eastAsia="Times New Roman" w:hAnsi="Times New Roman"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sz w:val="22"/>
        </w:rPr>
        <w:t>fakîhler</w:t>
      </w:r>
      <w:proofErr w:type="spellEnd"/>
      <w:r>
        <w:rPr>
          <w:rFonts w:ascii="Times New Roman" w:eastAsia="Times New Roman" w:hAnsi="Times New Roman"/>
          <w:sz w:val="22"/>
        </w:rPr>
        <w:t xml:space="preserve"> arasında tartışılmış konulardan biridir. Böyle bir şeye gerek duyulması, yaygın </w:t>
      </w:r>
      <w:proofErr w:type="spellStart"/>
      <w:r>
        <w:rPr>
          <w:rFonts w:ascii="Times New Roman" w:eastAsia="Times New Roman" w:hAnsi="Times New Roman"/>
          <w:sz w:val="22"/>
        </w:rPr>
        <w:t>icmâ</w:t>
      </w:r>
      <w:proofErr w:type="spellEnd"/>
      <w:r>
        <w:rPr>
          <w:rFonts w:ascii="Times New Roman" w:eastAsia="Times New Roman" w:hAnsi="Times New Roman"/>
          <w:sz w:val="22"/>
        </w:rPr>
        <w:t xml:space="preserve"> tarifinden kaynaklanmaktadır. Zira bu tanıma göre </w:t>
      </w:r>
      <w:proofErr w:type="spellStart"/>
      <w:r>
        <w:rPr>
          <w:rFonts w:ascii="Times New Roman" w:eastAsia="Times New Roman" w:hAnsi="Times New Roman"/>
          <w:sz w:val="22"/>
        </w:rPr>
        <w:t>İcmâ</w:t>
      </w:r>
      <w:proofErr w:type="spellEnd"/>
      <w:r>
        <w:rPr>
          <w:rFonts w:ascii="Times New Roman" w:eastAsia="Times New Roman" w:hAnsi="Times New Roman"/>
          <w:sz w:val="22"/>
        </w:rPr>
        <w:t xml:space="preserve"> ancak bir asırda yaşayan bütün alimlerin ittifakı ile mümkün olabilmektedir.</w:t>
      </w:r>
      <w:r>
        <w:rPr>
          <w:rFonts w:ascii="Times New Roman" w:eastAsia="Times New Roman" w:hAnsi="Times New Roman"/>
          <w:sz w:val="12"/>
        </w:rPr>
        <w:t>79</w:t>
      </w:r>
      <w:r>
        <w:rPr>
          <w:rFonts w:ascii="Times New Roman" w:eastAsia="Times New Roman" w:hAnsi="Times New Roman"/>
          <w:sz w:val="22"/>
        </w:rPr>
        <w:t xml:space="preserve"> Bu durumda başka fırka, mezhep veya kişiler yanında </w:t>
      </w:r>
      <w:proofErr w:type="spellStart"/>
      <w:r>
        <w:rPr>
          <w:rFonts w:ascii="Times New Roman" w:eastAsia="Times New Roman" w:hAnsi="Times New Roman"/>
          <w:sz w:val="22"/>
        </w:rPr>
        <w:t>Zâhirîlerin</w:t>
      </w:r>
      <w:proofErr w:type="spellEnd"/>
      <w:r>
        <w:rPr>
          <w:rFonts w:ascii="Times New Roman" w:eastAsia="Times New Roman" w:hAnsi="Times New Roman"/>
          <w:sz w:val="22"/>
        </w:rPr>
        <w:t xml:space="preserve"> bir konu </w:t>
      </w:r>
      <w:proofErr w:type="gramStart"/>
      <w:r>
        <w:rPr>
          <w:rFonts w:ascii="Times New Roman" w:eastAsia="Times New Roman" w:hAnsi="Times New Roman"/>
          <w:sz w:val="22"/>
        </w:rPr>
        <w:t>hakkındaki mu</w:t>
      </w:r>
      <w:proofErr w:type="gramEnd"/>
      <w:r>
        <w:rPr>
          <w:rFonts w:ascii="Times New Roman" w:eastAsia="Times New Roman" w:hAnsi="Times New Roman"/>
          <w:sz w:val="22"/>
        </w:rPr>
        <w:t>-</w:t>
      </w:r>
      <w:proofErr w:type="spellStart"/>
      <w:r>
        <w:rPr>
          <w:rFonts w:ascii="Times New Roman" w:eastAsia="Times New Roman" w:hAnsi="Times New Roman"/>
          <w:sz w:val="22"/>
        </w:rPr>
        <w:t>halefetlerinin</w:t>
      </w:r>
      <w:proofErr w:type="spellEnd"/>
      <w:r>
        <w:rPr>
          <w:rFonts w:ascii="Times New Roman" w:eastAsia="Times New Roman" w:hAnsi="Times New Roman"/>
          <w:sz w:val="22"/>
        </w:rPr>
        <w:t xml:space="preserve"> o konuda oluşacak bir </w:t>
      </w:r>
      <w:proofErr w:type="spellStart"/>
      <w:r>
        <w:rPr>
          <w:rFonts w:ascii="Times New Roman" w:eastAsia="Times New Roman" w:hAnsi="Times New Roman"/>
          <w:sz w:val="22"/>
        </w:rPr>
        <w:t>icmâın</w:t>
      </w:r>
      <w:proofErr w:type="spellEnd"/>
      <w:r>
        <w:rPr>
          <w:rFonts w:ascii="Times New Roman" w:eastAsia="Times New Roman" w:hAnsi="Times New Roman"/>
          <w:sz w:val="22"/>
        </w:rPr>
        <w:t xml:space="preserve"> oluşumunu etkileyip etkilemeye-</w:t>
      </w:r>
      <w:proofErr w:type="spellStart"/>
      <w:r>
        <w:rPr>
          <w:rFonts w:ascii="Times New Roman" w:eastAsia="Times New Roman" w:hAnsi="Times New Roman"/>
          <w:sz w:val="22"/>
        </w:rPr>
        <w:t>ceği</w:t>
      </w:r>
      <w:proofErr w:type="spellEnd"/>
      <w:r>
        <w:rPr>
          <w:rFonts w:ascii="Times New Roman" w:eastAsia="Times New Roman" w:hAnsi="Times New Roman"/>
          <w:sz w:val="22"/>
        </w:rPr>
        <w:t xml:space="preserve"> sorusu ortaya atılmıştır.</w:t>
      </w:r>
      <w:r>
        <w:rPr>
          <w:rFonts w:ascii="Times New Roman" w:eastAsia="Times New Roman" w:hAnsi="Times New Roman"/>
          <w:sz w:val="12"/>
        </w:rPr>
        <w:t>80</w:t>
      </w:r>
    </w:p>
    <w:p w:rsidR="0061338C" w:rsidRDefault="0061338C" w:rsidP="0061338C">
      <w:pPr>
        <w:spacing w:line="4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98" w:lineRule="auto"/>
        <w:ind w:left="6" w:firstLine="284"/>
        <w:jc w:val="both"/>
        <w:rPr>
          <w:rFonts w:ascii="Times New Roman" w:eastAsia="Times New Roman" w:hAnsi="Times New Roman"/>
          <w:sz w:val="12"/>
        </w:rPr>
      </w:pPr>
      <w:proofErr w:type="spellStart"/>
      <w:r>
        <w:rPr>
          <w:rFonts w:ascii="Times New Roman" w:eastAsia="Times New Roman" w:hAnsi="Times New Roman"/>
          <w:sz w:val="21"/>
        </w:rPr>
        <w:t>Dâvûd’un</w:t>
      </w:r>
      <w:proofErr w:type="spellEnd"/>
      <w:r>
        <w:rPr>
          <w:rFonts w:ascii="Times New Roman" w:eastAsia="Times New Roman" w:hAnsi="Times New Roman"/>
          <w:sz w:val="21"/>
        </w:rPr>
        <w:t xml:space="preserve"> ve onu takip edenlerin muhalefetinin dikkate alınıp </w:t>
      </w:r>
      <w:proofErr w:type="spellStart"/>
      <w:r>
        <w:rPr>
          <w:rFonts w:ascii="Times New Roman" w:eastAsia="Times New Roman" w:hAnsi="Times New Roman"/>
          <w:sz w:val="21"/>
        </w:rPr>
        <w:t>alınmayaca</w:t>
      </w:r>
      <w:proofErr w:type="spellEnd"/>
      <w:r>
        <w:rPr>
          <w:rFonts w:ascii="Times New Roman" w:eastAsia="Times New Roman" w:hAnsi="Times New Roman"/>
          <w:sz w:val="21"/>
        </w:rPr>
        <w:t>-</w:t>
      </w:r>
      <w:proofErr w:type="spellStart"/>
      <w:r>
        <w:rPr>
          <w:rFonts w:ascii="Times New Roman" w:eastAsia="Times New Roman" w:hAnsi="Times New Roman"/>
          <w:sz w:val="21"/>
        </w:rPr>
        <w:t>ğı</w:t>
      </w:r>
      <w:proofErr w:type="spellEnd"/>
      <w:r>
        <w:rPr>
          <w:rFonts w:ascii="Times New Roman" w:eastAsia="Times New Roman" w:hAnsi="Times New Roman"/>
          <w:sz w:val="21"/>
        </w:rPr>
        <w:t xml:space="preserve"> ile ilgili olarak iki görüş vardır. Birinci görüşe göre, </w:t>
      </w:r>
      <w:proofErr w:type="spellStart"/>
      <w:r>
        <w:rPr>
          <w:rFonts w:ascii="Times New Roman" w:eastAsia="Times New Roman" w:hAnsi="Times New Roman"/>
          <w:sz w:val="21"/>
        </w:rPr>
        <w:t>Zâhirîlerin</w:t>
      </w:r>
      <w:proofErr w:type="spellEnd"/>
      <w:r>
        <w:rPr>
          <w:rFonts w:ascii="Times New Roman" w:eastAsia="Times New Roman" w:hAnsi="Times New Roman"/>
          <w:sz w:val="21"/>
        </w:rPr>
        <w:t xml:space="preserve"> muhalefeti </w:t>
      </w:r>
      <w:proofErr w:type="spellStart"/>
      <w:r>
        <w:rPr>
          <w:rFonts w:ascii="Times New Roman" w:eastAsia="Times New Roman" w:hAnsi="Times New Roman"/>
          <w:sz w:val="21"/>
        </w:rPr>
        <w:t>icmâda</w:t>
      </w:r>
      <w:proofErr w:type="spellEnd"/>
      <w:r>
        <w:rPr>
          <w:rFonts w:ascii="Times New Roman" w:eastAsia="Times New Roman" w:hAnsi="Times New Roman"/>
          <w:sz w:val="21"/>
        </w:rPr>
        <w:t xml:space="preserve"> dikkate alınmalıdır. Bu görüşe göre </w:t>
      </w:r>
      <w:proofErr w:type="spellStart"/>
      <w:r>
        <w:rPr>
          <w:rFonts w:ascii="Times New Roman" w:eastAsia="Times New Roman" w:hAnsi="Times New Roman"/>
          <w:sz w:val="21"/>
        </w:rPr>
        <w:t>Zâhirîlerin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kat’î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icmâa</w:t>
      </w:r>
      <w:proofErr w:type="spellEnd"/>
      <w:r>
        <w:rPr>
          <w:rFonts w:ascii="Times New Roman" w:eastAsia="Times New Roman" w:hAnsi="Times New Roman"/>
          <w:sz w:val="21"/>
        </w:rPr>
        <w:t xml:space="preserve"> muhale-</w:t>
      </w:r>
      <w:proofErr w:type="spellStart"/>
      <w:r>
        <w:rPr>
          <w:rFonts w:ascii="Times New Roman" w:eastAsia="Times New Roman" w:hAnsi="Times New Roman"/>
          <w:sz w:val="21"/>
        </w:rPr>
        <w:t>fetleri</w:t>
      </w:r>
      <w:proofErr w:type="spellEnd"/>
      <w:r>
        <w:rPr>
          <w:rFonts w:ascii="Times New Roman" w:eastAsia="Times New Roman" w:hAnsi="Times New Roman"/>
          <w:sz w:val="21"/>
        </w:rPr>
        <w:t xml:space="preserve"> oldukça nadirdir. Onların tek başlarına kaldıkları konular ise genellikle </w:t>
      </w:r>
      <w:proofErr w:type="spellStart"/>
      <w:r>
        <w:rPr>
          <w:rFonts w:ascii="Times New Roman" w:eastAsia="Times New Roman" w:hAnsi="Times New Roman"/>
          <w:sz w:val="21"/>
        </w:rPr>
        <w:t>zannî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icmâ</w:t>
      </w:r>
      <w:proofErr w:type="spellEnd"/>
      <w:r>
        <w:rPr>
          <w:rFonts w:ascii="Times New Roman" w:eastAsia="Times New Roman" w:hAnsi="Times New Roman"/>
          <w:sz w:val="21"/>
        </w:rPr>
        <w:t xml:space="preserve"> ile ilgili olup bu tek kaldıkları görüşler birer </w:t>
      </w:r>
      <w:proofErr w:type="spellStart"/>
      <w:r>
        <w:rPr>
          <w:rFonts w:ascii="Times New Roman" w:eastAsia="Times New Roman" w:hAnsi="Times New Roman"/>
          <w:sz w:val="21"/>
        </w:rPr>
        <w:t>birer</w:t>
      </w:r>
      <w:proofErr w:type="spellEnd"/>
      <w:r>
        <w:rPr>
          <w:rFonts w:ascii="Times New Roman" w:eastAsia="Times New Roman" w:hAnsi="Times New Roman"/>
          <w:sz w:val="21"/>
        </w:rPr>
        <w:t xml:space="preserve"> incelenirse bun-</w:t>
      </w:r>
      <w:proofErr w:type="spellStart"/>
      <w:r>
        <w:rPr>
          <w:rFonts w:ascii="Times New Roman" w:eastAsia="Times New Roman" w:hAnsi="Times New Roman"/>
          <w:sz w:val="21"/>
        </w:rPr>
        <w:t>ların</w:t>
      </w:r>
      <w:proofErr w:type="spellEnd"/>
      <w:r>
        <w:rPr>
          <w:rFonts w:ascii="Times New Roman" w:eastAsia="Times New Roman" w:hAnsi="Times New Roman"/>
          <w:sz w:val="21"/>
        </w:rPr>
        <w:t xml:space="preserve"> bazılarında isabetli bazıların da ise isabetsiz davrandıkları ortaya çıka-</w:t>
      </w:r>
      <w:proofErr w:type="spellStart"/>
      <w:r>
        <w:rPr>
          <w:rFonts w:ascii="Times New Roman" w:eastAsia="Times New Roman" w:hAnsi="Times New Roman"/>
          <w:sz w:val="21"/>
        </w:rPr>
        <w:t>caktır</w:t>
      </w:r>
      <w:proofErr w:type="spellEnd"/>
      <w:r>
        <w:rPr>
          <w:rFonts w:ascii="Times New Roman" w:eastAsia="Times New Roman" w:hAnsi="Times New Roman"/>
          <w:sz w:val="21"/>
        </w:rPr>
        <w:t xml:space="preserve">. Başka bir deyişle bu görüş sahipleri </w:t>
      </w:r>
      <w:proofErr w:type="spellStart"/>
      <w:r>
        <w:rPr>
          <w:rFonts w:ascii="Times New Roman" w:eastAsia="Times New Roman" w:hAnsi="Times New Roman"/>
          <w:sz w:val="21"/>
        </w:rPr>
        <w:t>Zâhirîlerin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zannî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icmâa</w:t>
      </w:r>
      <w:proofErr w:type="spellEnd"/>
      <w:r>
        <w:rPr>
          <w:rFonts w:ascii="Times New Roman" w:eastAsia="Times New Roman" w:hAnsi="Times New Roman"/>
          <w:sz w:val="21"/>
        </w:rPr>
        <w:t xml:space="preserve"> muhalefet-</w:t>
      </w:r>
      <w:proofErr w:type="spellStart"/>
      <w:r>
        <w:rPr>
          <w:rFonts w:ascii="Times New Roman" w:eastAsia="Times New Roman" w:hAnsi="Times New Roman"/>
          <w:sz w:val="21"/>
        </w:rPr>
        <w:t>lerini</w:t>
      </w:r>
      <w:proofErr w:type="spellEnd"/>
      <w:r>
        <w:rPr>
          <w:rFonts w:ascii="Times New Roman" w:eastAsia="Times New Roman" w:hAnsi="Times New Roman"/>
          <w:sz w:val="21"/>
        </w:rPr>
        <w:t xml:space="preserve"> normal karşılamakta ve bunu onların görüşlerinin hiçbir konuda dikkate alınmaması için yeterli bir gerekçe olarak görmemektedirler.</w:t>
      </w:r>
      <w:r>
        <w:rPr>
          <w:rFonts w:ascii="Times New Roman" w:eastAsia="Times New Roman" w:hAnsi="Times New Roman"/>
          <w:sz w:val="12"/>
        </w:rPr>
        <w:t>81</w:t>
      </w:r>
    </w:p>
    <w:p w:rsidR="0061338C" w:rsidRDefault="0061338C" w:rsidP="0061338C">
      <w:pPr>
        <w:spacing w:line="1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307" w:lineRule="auto"/>
        <w:ind w:left="6" w:firstLine="284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 xml:space="preserve">İkinci görüş ise, </w:t>
      </w:r>
      <w:proofErr w:type="spellStart"/>
      <w:r>
        <w:rPr>
          <w:rFonts w:ascii="Times New Roman" w:eastAsia="Times New Roman" w:hAnsi="Times New Roman"/>
          <w:sz w:val="21"/>
        </w:rPr>
        <w:t>Zâhirîlerin</w:t>
      </w:r>
      <w:proofErr w:type="spellEnd"/>
      <w:r>
        <w:rPr>
          <w:rFonts w:ascii="Times New Roman" w:eastAsia="Times New Roman" w:hAnsi="Times New Roman"/>
          <w:sz w:val="21"/>
        </w:rPr>
        <w:t xml:space="preserve"> muhalefetlerine itibar etmemeyi savunan </w:t>
      </w:r>
      <w:proofErr w:type="spellStart"/>
      <w:r>
        <w:rPr>
          <w:rFonts w:ascii="Times New Roman" w:eastAsia="Times New Roman" w:hAnsi="Times New Roman"/>
          <w:sz w:val="21"/>
        </w:rPr>
        <w:t>gö</w:t>
      </w:r>
      <w:proofErr w:type="spellEnd"/>
      <w:r>
        <w:rPr>
          <w:rFonts w:ascii="Times New Roman" w:eastAsia="Times New Roman" w:hAnsi="Times New Roman"/>
          <w:sz w:val="21"/>
        </w:rPr>
        <w:t>-</w:t>
      </w:r>
      <w:proofErr w:type="spellStart"/>
      <w:r>
        <w:rPr>
          <w:rFonts w:ascii="Times New Roman" w:eastAsia="Times New Roman" w:hAnsi="Times New Roman"/>
          <w:sz w:val="21"/>
        </w:rPr>
        <w:t>rüştür</w:t>
      </w:r>
      <w:proofErr w:type="spellEnd"/>
      <w:r>
        <w:rPr>
          <w:rFonts w:ascii="Times New Roman" w:eastAsia="Times New Roman" w:hAnsi="Times New Roman"/>
          <w:sz w:val="21"/>
        </w:rPr>
        <w:t>. Bu görüşü savunanlar, tek başlarına kaldıkları konulardan dolayı onla-</w:t>
      </w:r>
      <w:proofErr w:type="spellStart"/>
      <w:r>
        <w:rPr>
          <w:rFonts w:ascii="Times New Roman" w:eastAsia="Times New Roman" w:hAnsi="Times New Roman"/>
          <w:sz w:val="21"/>
        </w:rPr>
        <w:t>rı</w:t>
      </w:r>
      <w:proofErr w:type="spellEnd"/>
      <w:r>
        <w:rPr>
          <w:rFonts w:ascii="Times New Roman" w:eastAsia="Times New Roman" w:hAnsi="Times New Roman"/>
          <w:sz w:val="21"/>
        </w:rPr>
        <w:t xml:space="preserve"> dinden çıkmış saymamaktadırlar. Sadece onları avam sınıfından saymakta ya da </w:t>
      </w:r>
      <w:proofErr w:type="spellStart"/>
      <w:r>
        <w:rPr>
          <w:rFonts w:ascii="Times New Roman" w:eastAsia="Times New Roman" w:hAnsi="Times New Roman"/>
          <w:sz w:val="21"/>
        </w:rPr>
        <w:t>furû</w:t>
      </w:r>
      <w:proofErr w:type="spellEnd"/>
      <w:r>
        <w:rPr>
          <w:rFonts w:ascii="Times New Roman" w:eastAsia="Times New Roman" w:hAnsi="Times New Roman"/>
          <w:sz w:val="21"/>
        </w:rPr>
        <w:t xml:space="preserve"> konularında onların </w:t>
      </w:r>
      <w:proofErr w:type="spellStart"/>
      <w:r>
        <w:rPr>
          <w:rFonts w:ascii="Times New Roman" w:eastAsia="Times New Roman" w:hAnsi="Times New Roman"/>
          <w:sz w:val="21"/>
        </w:rPr>
        <w:t>Şîa</w:t>
      </w:r>
      <w:proofErr w:type="spellEnd"/>
      <w:r>
        <w:rPr>
          <w:rFonts w:ascii="Times New Roman" w:eastAsia="Times New Roman" w:hAnsi="Times New Roman"/>
          <w:sz w:val="21"/>
        </w:rPr>
        <w:t xml:space="preserve"> gibi olduklarını kabul etmektedirler. Bu görüşte olanlar, onların görüşlerine iltifat etmemeyi, muhalefetlerine önem vermemeyi, kitaplarının okunmasını önemsememeyi savunmakta ve avamdan</w:t>
      </w:r>
    </w:p>
    <w:p w:rsidR="0061338C" w:rsidRDefault="0061338C" w:rsidP="0061338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pict>
          <v:line id="_x0000_s1027" style="position:absolute;z-index:-251658240" from="0,14.95pt" to="141.7pt,14.95pt" o:userdrawn="t" strokeweight=".25pt"/>
        </w:pict>
      </w:r>
    </w:p>
    <w:p w:rsidR="0061338C" w:rsidRDefault="0061338C" w:rsidP="0061338C">
      <w:pPr>
        <w:spacing w:line="311" w:lineRule="exact"/>
        <w:rPr>
          <w:rFonts w:ascii="Times New Roman" w:eastAsia="Times New Roman" w:hAnsi="Times New Roman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6620"/>
      </w:tblGrid>
      <w:tr w:rsidR="0061338C" w:rsidTr="000C5968">
        <w:trPr>
          <w:trHeight w:val="190"/>
        </w:trPr>
        <w:tc>
          <w:tcPr>
            <w:tcW w:w="18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jc w:val="right"/>
              <w:rPr>
                <w:rFonts w:ascii="Times New Roman" w:eastAsia="Times New Roman" w:hAnsi="Times New Roman"/>
                <w:w w:val="87"/>
                <w:sz w:val="16"/>
              </w:rPr>
            </w:pPr>
            <w:r>
              <w:rPr>
                <w:rFonts w:ascii="Times New Roman" w:eastAsia="Times New Roman" w:hAnsi="Times New Roman"/>
                <w:w w:val="87"/>
                <w:sz w:val="16"/>
              </w:rPr>
              <w:t>78</w:t>
            </w:r>
          </w:p>
        </w:tc>
        <w:tc>
          <w:tcPr>
            <w:tcW w:w="662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Yefût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, s. 92.</w:t>
            </w:r>
          </w:p>
        </w:tc>
      </w:tr>
      <w:tr w:rsidR="0061338C" w:rsidTr="000C5968">
        <w:trPr>
          <w:trHeight w:val="192"/>
        </w:trPr>
        <w:tc>
          <w:tcPr>
            <w:tcW w:w="18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jc w:val="right"/>
              <w:rPr>
                <w:rFonts w:ascii="Times New Roman" w:eastAsia="Times New Roman" w:hAnsi="Times New Roman"/>
                <w:w w:val="87"/>
                <w:sz w:val="16"/>
              </w:rPr>
            </w:pPr>
            <w:r>
              <w:rPr>
                <w:rFonts w:ascii="Times New Roman" w:eastAsia="Times New Roman" w:hAnsi="Times New Roman"/>
                <w:w w:val="87"/>
                <w:sz w:val="16"/>
              </w:rPr>
              <w:t>79</w:t>
            </w:r>
          </w:p>
        </w:tc>
        <w:tc>
          <w:tcPr>
            <w:tcW w:w="662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ind w:left="40"/>
              <w:rPr>
                <w:rFonts w:ascii="Times New Roman" w:eastAsia="Times New Roman" w:hAnsi="Times New Roman"/>
                <w:i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Gazâlî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sz w:val="16"/>
              </w:rPr>
              <w:t>el-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Müstesfâ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, I/181;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Ebu’l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Vefâ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Alî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b.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Akîl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b. Muhammed b.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Akîl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el-Hanbelî, </w:t>
            </w:r>
            <w:r>
              <w:rPr>
                <w:rFonts w:ascii="Times New Roman" w:eastAsia="Times New Roman" w:hAnsi="Times New Roman"/>
                <w:i/>
                <w:sz w:val="16"/>
              </w:rPr>
              <w:t>el-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Vâdıh</w:t>
            </w:r>
            <w:proofErr w:type="spellEnd"/>
          </w:p>
        </w:tc>
      </w:tr>
      <w:tr w:rsidR="0061338C" w:rsidTr="000C5968">
        <w:trPr>
          <w:trHeight w:val="192"/>
        </w:trPr>
        <w:tc>
          <w:tcPr>
            <w:tcW w:w="18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2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fî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Usûli’l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Fıkh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Müessesetü’r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Risâle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Beyrût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1999, I/42;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Hasen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el-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Attâr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,</w:t>
            </w:r>
            <w:r>
              <w:rPr>
                <w:rFonts w:ascii="Times New Roman" w:eastAsia="Times New Roman" w:hAnsi="Times New Roman"/>
                <w:i/>
                <w:sz w:val="16"/>
              </w:rPr>
              <w:t xml:space="preserve"> Haşiye 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ale’l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Cem’i’l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Cevâmî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,</w:t>
            </w:r>
          </w:p>
        </w:tc>
      </w:tr>
      <w:tr w:rsidR="0061338C" w:rsidTr="000C5968">
        <w:trPr>
          <w:trHeight w:val="192"/>
        </w:trPr>
        <w:tc>
          <w:tcPr>
            <w:tcW w:w="18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2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ind w:left="40"/>
              <w:rPr>
                <w:rFonts w:ascii="Times New Roman" w:eastAsia="Times New Roman" w:hAnsi="Times New Roman"/>
                <w:i/>
                <w:w w:val="99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6"/>
              </w:rPr>
              <w:t>Dâru’l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6"/>
              </w:rPr>
              <w:t>Kütübi’l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6"/>
              </w:rPr>
              <w:t>İlmiyye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6"/>
              </w:rPr>
              <w:t>Beyrût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6"/>
              </w:rPr>
              <w:t xml:space="preserve"> (t.y.), II/208; Muhammed b.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6"/>
              </w:rPr>
              <w:t>Hasen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6"/>
              </w:rPr>
              <w:t xml:space="preserve"> el-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16"/>
              </w:rPr>
              <w:t>Bedahşî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w w:val="99"/>
                <w:sz w:val="16"/>
              </w:rPr>
              <w:t>Minhâcü’l</w:t>
            </w:r>
            <w:proofErr w:type="spellEnd"/>
            <w:r>
              <w:rPr>
                <w:rFonts w:ascii="Times New Roman" w:eastAsia="Times New Roman" w:hAnsi="Times New Roman"/>
                <w:i/>
                <w:w w:val="99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i/>
                <w:w w:val="99"/>
                <w:sz w:val="16"/>
              </w:rPr>
              <w:t>Ukûl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w w:val="99"/>
                <w:sz w:val="16"/>
              </w:rPr>
              <w:t>Şerhu</w:t>
            </w:r>
            <w:proofErr w:type="spellEnd"/>
          </w:p>
        </w:tc>
      </w:tr>
      <w:tr w:rsidR="0061338C" w:rsidTr="000C5968">
        <w:trPr>
          <w:trHeight w:val="192"/>
        </w:trPr>
        <w:tc>
          <w:tcPr>
            <w:tcW w:w="18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62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Minhâci’l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Vusûl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Matbaatü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Muhammed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Alî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Sabîh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Evlâdih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, Mısır (t.y.), II/210; II/273.</w:t>
            </w:r>
          </w:p>
        </w:tc>
      </w:tr>
      <w:tr w:rsidR="0061338C" w:rsidTr="000C5968">
        <w:trPr>
          <w:trHeight w:val="192"/>
        </w:trPr>
        <w:tc>
          <w:tcPr>
            <w:tcW w:w="18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jc w:val="right"/>
              <w:rPr>
                <w:rFonts w:ascii="Times New Roman" w:eastAsia="Times New Roman" w:hAnsi="Times New Roman"/>
                <w:w w:val="87"/>
                <w:sz w:val="16"/>
              </w:rPr>
            </w:pPr>
            <w:r>
              <w:rPr>
                <w:rFonts w:ascii="Times New Roman" w:eastAsia="Times New Roman" w:hAnsi="Times New Roman"/>
                <w:w w:val="87"/>
                <w:sz w:val="16"/>
              </w:rPr>
              <w:t>80</w:t>
            </w:r>
          </w:p>
        </w:tc>
        <w:tc>
          <w:tcPr>
            <w:tcW w:w="662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ind w:left="40"/>
              <w:rPr>
                <w:rFonts w:ascii="Times New Roman" w:eastAsia="Times New Roman" w:hAnsi="Times New Roman"/>
                <w:i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İbn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Kesîr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, XIV/137;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Ebû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Amr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Osman b.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Abdirrahmân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b. Osman eş-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Şehrazûrî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Edebü’l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Müftî</w:t>
            </w:r>
            <w:proofErr w:type="spellEnd"/>
          </w:p>
        </w:tc>
      </w:tr>
      <w:tr w:rsidR="0061338C" w:rsidTr="000C5968">
        <w:trPr>
          <w:trHeight w:val="211"/>
        </w:trPr>
        <w:tc>
          <w:tcPr>
            <w:tcW w:w="18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20" w:type="dxa"/>
            <w:shd w:val="clear" w:color="auto" w:fill="auto"/>
            <w:vAlign w:val="bottom"/>
          </w:tcPr>
          <w:p w:rsidR="0061338C" w:rsidRDefault="0061338C" w:rsidP="000C5968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ve’l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</w:rPr>
              <w:t>Müsteftî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Âlemü’l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Kütüb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Beyrût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(t.y.), I/205.</w:t>
            </w:r>
          </w:p>
        </w:tc>
      </w:tr>
    </w:tbl>
    <w:p w:rsidR="0061338C" w:rsidRDefault="0061338C" w:rsidP="0061338C">
      <w:pPr>
        <w:numPr>
          <w:ilvl w:val="0"/>
          <w:numId w:val="13"/>
        </w:numPr>
        <w:tabs>
          <w:tab w:val="left" w:pos="226"/>
        </w:tabs>
        <w:spacing w:line="0" w:lineRule="atLeast"/>
        <w:ind w:left="226" w:hanging="226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Times New Roman" w:eastAsia="Times New Roman" w:hAnsi="Times New Roman"/>
          <w:sz w:val="16"/>
        </w:rPr>
        <w:t>Zehebî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16"/>
        </w:rPr>
        <w:t>Nüzhetü’l</w:t>
      </w:r>
      <w:proofErr w:type="spellEnd"/>
      <w:r>
        <w:rPr>
          <w:rFonts w:ascii="Times New Roman" w:eastAsia="Times New Roman" w:hAnsi="Times New Roman"/>
          <w:i/>
          <w:sz w:val="16"/>
        </w:rPr>
        <w:t>-</w:t>
      </w:r>
      <w:proofErr w:type="spellStart"/>
      <w:r>
        <w:rPr>
          <w:rFonts w:ascii="Times New Roman" w:eastAsia="Times New Roman" w:hAnsi="Times New Roman"/>
          <w:i/>
          <w:sz w:val="16"/>
        </w:rPr>
        <w:t>Fudalâ</w:t>
      </w:r>
      <w:proofErr w:type="spellEnd"/>
      <w:r>
        <w:rPr>
          <w:rFonts w:ascii="Times New Roman" w:eastAsia="Times New Roman" w:hAnsi="Times New Roman"/>
          <w:sz w:val="16"/>
        </w:rPr>
        <w:t>, II/946.</w:t>
      </w:r>
    </w:p>
    <w:p w:rsidR="0061338C" w:rsidRDefault="0061338C" w:rsidP="0061338C">
      <w:pPr>
        <w:tabs>
          <w:tab w:val="left" w:pos="226"/>
        </w:tabs>
        <w:spacing w:line="0" w:lineRule="atLeast"/>
        <w:ind w:left="226" w:hanging="226"/>
        <w:rPr>
          <w:rFonts w:ascii="Times New Roman" w:eastAsia="Times New Roman" w:hAnsi="Times New Roman"/>
          <w:sz w:val="16"/>
        </w:rPr>
        <w:sectPr w:rsidR="0061338C">
          <w:pgSz w:w="9240" w:h="13663"/>
          <w:pgMar w:top="1248" w:right="1301" w:bottom="699" w:left="1134" w:header="0" w:footer="0" w:gutter="0"/>
          <w:cols w:space="0" w:equalWidth="0">
            <w:col w:w="6806"/>
          </w:cols>
          <w:docGrid w:linePitch="360"/>
        </w:sectPr>
      </w:pPr>
    </w:p>
    <w:p w:rsidR="0061338C" w:rsidRDefault="0061338C" w:rsidP="0061338C">
      <w:pPr>
        <w:tabs>
          <w:tab w:val="left" w:pos="5840"/>
        </w:tabs>
        <w:spacing w:line="0" w:lineRule="atLeast"/>
        <w:rPr>
          <w:rFonts w:ascii="Times New Roman" w:eastAsia="Times New Roman" w:hAnsi="Times New Roman"/>
          <w:i/>
          <w:sz w:val="14"/>
        </w:rPr>
      </w:pPr>
      <w:bookmarkStart w:id="1" w:name="page18"/>
      <w:bookmarkEnd w:id="1"/>
      <w:r>
        <w:rPr>
          <w:rFonts w:ascii="Times New Roman" w:eastAsia="Times New Roman" w:hAnsi="Times New Roman"/>
          <w:sz w:val="18"/>
        </w:rPr>
        <w:lastRenderedPageBreak/>
        <w:t>154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14"/>
        </w:rPr>
        <w:t>OĞUZHAN TAN</w:t>
      </w:r>
    </w:p>
    <w:p w:rsidR="0061338C" w:rsidRDefault="0061338C" w:rsidP="0061338C">
      <w:pPr>
        <w:spacing w:line="200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00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54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75" w:lineRule="auto"/>
        <w:ind w:right="20"/>
        <w:jc w:val="both"/>
        <w:rPr>
          <w:rFonts w:ascii="Times New Roman" w:eastAsia="Times New Roman" w:hAnsi="Times New Roman"/>
          <w:sz w:val="12"/>
        </w:rPr>
      </w:pPr>
      <w:proofErr w:type="gramStart"/>
      <w:r>
        <w:rPr>
          <w:rFonts w:ascii="Times New Roman" w:eastAsia="Times New Roman" w:hAnsi="Times New Roman"/>
          <w:sz w:val="22"/>
        </w:rPr>
        <w:t>fetva</w:t>
      </w:r>
      <w:proofErr w:type="gramEnd"/>
      <w:r>
        <w:rPr>
          <w:rFonts w:ascii="Times New Roman" w:eastAsia="Times New Roman" w:hAnsi="Times New Roman"/>
          <w:sz w:val="22"/>
        </w:rPr>
        <w:t xml:space="preserve"> isteyenlerin </w:t>
      </w:r>
      <w:proofErr w:type="spellStart"/>
      <w:r>
        <w:rPr>
          <w:rFonts w:ascii="Times New Roman" w:eastAsia="Times New Roman" w:hAnsi="Times New Roman"/>
          <w:sz w:val="22"/>
        </w:rPr>
        <w:t>Zâhirî</w:t>
      </w:r>
      <w:proofErr w:type="spellEnd"/>
      <w:r>
        <w:rPr>
          <w:rFonts w:ascii="Times New Roman" w:eastAsia="Times New Roman" w:hAnsi="Times New Roman"/>
          <w:sz w:val="22"/>
        </w:rPr>
        <w:t xml:space="preserve"> bir fakihe sevk edilmemesi gerektiğini düşünmekte-</w:t>
      </w:r>
      <w:proofErr w:type="spellStart"/>
      <w:r>
        <w:rPr>
          <w:rFonts w:ascii="Times New Roman" w:eastAsia="Times New Roman" w:hAnsi="Times New Roman"/>
          <w:sz w:val="22"/>
        </w:rPr>
        <w:t>dirler</w:t>
      </w:r>
      <w:proofErr w:type="spellEnd"/>
      <w:r>
        <w:rPr>
          <w:rFonts w:ascii="Times New Roman" w:eastAsia="Times New Roman" w:hAnsi="Times New Roman"/>
          <w:sz w:val="22"/>
        </w:rPr>
        <w:t xml:space="preserve">. Başka bir deyişle bu görüş, </w:t>
      </w:r>
      <w:proofErr w:type="spellStart"/>
      <w:r>
        <w:rPr>
          <w:rFonts w:ascii="Times New Roman" w:eastAsia="Times New Roman" w:hAnsi="Times New Roman"/>
          <w:sz w:val="22"/>
        </w:rPr>
        <w:t>Zâhirîlerin</w:t>
      </w:r>
      <w:proofErr w:type="spellEnd"/>
      <w:r>
        <w:rPr>
          <w:rFonts w:ascii="Times New Roman" w:eastAsia="Times New Roman" w:hAnsi="Times New Roman"/>
          <w:sz w:val="22"/>
        </w:rPr>
        <w:t xml:space="preserve"> kendi haline bırakılmasını ön-görmektedir. Fakat çıplak ayağa mesh gibi batıllığı bilinen bir görüşü açıktan dile getirirlerse onların </w:t>
      </w:r>
      <w:proofErr w:type="spellStart"/>
      <w:r>
        <w:rPr>
          <w:rFonts w:ascii="Times New Roman" w:eastAsia="Times New Roman" w:hAnsi="Times New Roman"/>
          <w:sz w:val="22"/>
        </w:rPr>
        <w:t>te’dib</w:t>
      </w:r>
      <w:proofErr w:type="spellEnd"/>
      <w:r>
        <w:rPr>
          <w:rFonts w:ascii="Times New Roman" w:eastAsia="Times New Roman" w:hAnsi="Times New Roman"/>
          <w:sz w:val="22"/>
        </w:rPr>
        <w:t xml:space="preserve"> ve </w:t>
      </w:r>
      <w:proofErr w:type="spellStart"/>
      <w:r>
        <w:rPr>
          <w:rFonts w:ascii="Times New Roman" w:eastAsia="Times New Roman" w:hAnsi="Times New Roman"/>
          <w:sz w:val="22"/>
        </w:rPr>
        <w:t>ta’zir</w:t>
      </w:r>
      <w:proofErr w:type="spellEnd"/>
      <w:r>
        <w:rPr>
          <w:rFonts w:ascii="Times New Roman" w:eastAsia="Times New Roman" w:hAnsi="Times New Roman"/>
          <w:sz w:val="22"/>
        </w:rPr>
        <w:t xml:space="preserve"> edilerek abdestte ayak yıkamakla ilzam edilmesi gerektiğini söylemektedirler.</w:t>
      </w:r>
      <w:r>
        <w:rPr>
          <w:rFonts w:ascii="Times New Roman" w:eastAsia="Times New Roman" w:hAnsi="Times New Roman"/>
          <w:sz w:val="12"/>
        </w:rPr>
        <w:t>82</w:t>
      </w:r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Zâhirîlerin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icmâdaki</w:t>
      </w:r>
      <w:proofErr w:type="spellEnd"/>
      <w:r>
        <w:rPr>
          <w:rFonts w:ascii="Times New Roman" w:eastAsia="Times New Roman" w:hAnsi="Times New Roman"/>
          <w:sz w:val="22"/>
        </w:rPr>
        <w:t xml:space="preserve"> muhalefetlerinin dikkate alınmaması gerektiğini söyleyenler, bunu onların </w:t>
      </w:r>
      <w:proofErr w:type="spellStart"/>
      <w:r>
        <w:rPr>
          <w:rFonts w:ascii="Times New Roman" w:eastAsia="Times New Roman" w:hAnsi="Times New Roman"/>
          <w:sz w:val="22"/>
        </w:rPr>
        <w:t>kıyâsı</w:t>
      </w:r>
      <w:proofErr w:type="spellEnd"/>
      <w:r>
        <w:rPr>
          <w:rFonts w:ascii="Times New Roman" w:eastAsia="Times New Roman" w:hAnsi="Times New Roman"/>
          <w:sz w:val="22"/>
        </w:rPr>
        <w:t xml:space="preserve"> kabul etme-</w:t>
      </w:r>
      <w:proofErr w:type="spellStart"/>
      <w:r>
        <w:rPr>
          <w:rFonts w:ascii="Times New Roman" w:eastAsia="Times New Roman" w:hAnsi="Times New Roman"/>
          <w:sz w:val="22"/>
        </w:rPr>
        <w:t>yişlerine</w:t>
      </w:r>
      <w:proofErr w:type="spellEnd"/>
      <w:r>
        <w:rPr>
          <w:rFonts w:ascii="Times New Roman" w:eastAsia="Times New Roman" w:hAnsi="Times New Roman"/>
          <w:sz w:val="22"/>
        </w:rPr>
        <w:t xml:space="preserve"> dayandırmakta ve </w:t>
      </w:r>
      <w:proofErr w:type="spellStart"/>
      <w:r>
        <w:rPr>
          <w:rFonts w:ascii="Times New Roman" w:eastAsia="Times New Roman" w:hAnsi="Times New Roman"/>
          <w:sz w:val="22"/>
        </w:rPr>
        <w:t>kıyâsı</w:t>
      </w:r>
      <w:proofErr w:type="spellEnd"/>
      <w:r>
        <w:rPr>
          <w:rFonts w:ascii="Times New Roman" w:eastAsia="Times New Roman" w:hAnsi="Times New Roman"/>
          <w:sz w:val="22"/>
        </w:rPr>
        <w:t xml:space="preserve"> reddeden kimselere </w:t>
      </w:r>
      <w:proofErr w:type="gramStart"/>
      <w:r>
        <w:rPr>
          <w:rFonts w:ascii="Times New Roman" w:eastAsia="Times New Roman" w:hAnsi="Times New Roman"/>
          <w:sz w:val="22"/>
        </w:rPr>
        <w:t>hakimlik</w:t>
      </w:r>
      <w:proofErr w:type="gramEnd"/>
      <w:r>
        <w:rPr>
          <w:rFonts w:ascii="Times New Roman" w:eastAsia="Times New Roman" w:hAnsi="Times New Roman"/>
          <w:sz w:val="22"/>
        </w:rPr>
        <w:t xml:space="preserve"> görevinin de verilemeyeceğini söylemektedirler.</w:t>
      </w:r>
      <w:r>
        <w:rPr>
          <w:rFonts w:ascii="Times New Roman" w:eastAsia="Times New Roman" w:hAnsi="Times New Roman"/>
          <w:sz w:val="12"/>
        </w:rPr>
        <w:t>83</w:t>
      </w:r>
    </w:p>
    <w:p w:rsidR="0061338C" w:rsidRDefault="0061338C" w:rsidP="0061338C">
      <w:pPr>
        <w:spacing w:line="1" w:lineRule="exact"/>
        <w:rPr>
          <w:rFonts w:ascii="Times New Roman" w:eastAsia="Times New Roman" w:hAnsi="Times New Roman"/>
        </w:rPr>
      </w:pPr>
    </w:p>
    <w:p w:rsidR="0061338C" w:rsidRDefault="0061338C" w:rsidP="0061338C">
      <w:pPr>
        <w:spacing w:line="288" w:lineRule="auto"/>
        <w:ind w:right="20" w:firstLine="284"/>
        <w:jc w:val="both"/>
        <w:rPr>
          <w:rFonts w:ascii="Times New Roman" w:eastAsia="Times New Roman" w:hAnsi="Times New Roman"/>
          <w:sz w:val="12"/>
        </w:rPr>
      </w:pPr>
      <w:proofErr w:type="spellStart"/>
      <w:r>
        <w:rPr>
          <w:rFonts w:ascii="Times New Roman" w:eastAsia="Times New Roman" w:hAnsi="Times New Roman"/>
          <w:sz w:val="21"/>
        </w:rPr>
        <w:t>Zâhirîler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icmâın</w:t>
      </w:r>
      <w:proofErr w:type="spellEnd"/>
      <w:r>
        <w:rPr>
          <w:rFonts w:ascii="Times New Roman" w:eastAsia="Times New Roman" w:hAnsi="Times New Roman"/>
          <w:sz w:val="21"/>
        </w:rPr>
        <w:t xml:space="preserve"> kapsamını oldukça daraltarak geçerli olan </w:t>
      </w:r>
      <w:proofErr w:type="spellStart"/>
      <w:r>
        <w:rPr>
          <w:rFonts w:ascii="Times New Roman" w:eastAsia="Times New Roman" w:hAnsi="Times New Roman"/>
          <w:sz w:val="21"/>
        </w:rPr>
        <w:t>icmâı</w:t>
      </w:r>
      <w:proofErr w:type="spellEnd"/>
      <w:r>
        <w:rPr>
          <w:rFonts w:ascii="Times New Roman" w:eastAsia="Times New Roman" w:hAnsi="Times New Roman"/>
          <w:sz w:val="21"/>
        </w:rPr>
        <w:t xml:space="preserve"> sadece </w:t>
      </w:r>
      <w:proofErr w:type="spellStart"/>
      <w:r>
        <w:rPr>
          <w:rFonts w:ascii="Times New Roman" w:eastAsia="Times New Roman" w:hAnsi="Times New Roman"/>
          <w:sz w:val="21"/>
        </w:rPr>
        <w:t>sahâbenin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icmâı</w:t>
      </w:r>
      <w:proofErr w:type="spellEnd"/>
      <w:r>
        <w:rPr>
          <w:rFonts w:ascii="Times New Roman" w:eastAsia="Times New Roman" w:hAnsi="Times New Roman"/>
          <w:sz w:val="21"/>
        </w:rPr>
        <w:t xml:space="preserve"> ile sınırlı tutmuşlardır. Bu durumda başkaları tarafından ger-çekleştirilen </w:t>
      </w:r>
      <w:proofErr w:type="spellStart"/>
      <w:r>
        <w:rPr>
          <w:rFonts w:ascii="Times New Roman" w:eastAsia="Times New Roman" w:hAnsi="Times New Roman"/>
          <w:sz w:val="21"/>
        </w:rPr>
        <w:t>icmâı</w:t>
      </w:r>
      <w:proofErr w:type="spellEnd"/>
      <w:r>
        <w:rPr>
          <w:rFonts w:ascii="Times New Roman" w:eastAsia="Times New Roman" w:hAnsi="Times New Roman"/>
          <w:sz w:val="21"/>
        </w:rPr>
        <w:t xml:space="preserve"> geçerli görmeyerek bunlara muhalefet etmeyi de meşru görmüşlerdir.</w:t>
      </w:r>
      <w:r>
        <w:rPr>
          <w:rFonts w:ascii="Times New Roman" w:eastAsia="Times New Roman" w:hAnsi="Times New Roman"/>
          <w:sz w:val="12"/>
        </w:rPr>
        <w:t>84</w:t>
      </w:r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İcmâ’ın</w:t>
      </w:r>
      <w:proofErr w:type="spellEnd"/>
      <w:r>
        <w:rPr>
          <w:rFonts w:ascii="Times New Roman" w:eastAsia="Times New Roman" w:hAnsi="Times New Roman"/>
          <w:sz w:val="21"/>
        </w:rPr>
        <w:t xml:space="preserve"> çerçevesini daha geniş tutarak sonraki asırlarda da </w:t>
      </w:r>
      <w:proofErr w:type="spellStart"/>
      <w:r>
        <w:rPr>
          <w:rFonts w:ascii="Times New Roman" w:eastAsia="Times New Roman" w:hAnsi="Times New Roman"/>
          <w:sz w:val="21"/>
        </w:rPr>
        <w:t>icmâ</w:t>
      </w:r>
      <w:proofErr w:type="spellEnd"/>
      <w:r>
        <w:rPr>
          <w:rFonts w:ascii="Times New Roman" w:eastAsia="Times New Roman" w:hAnsi="Times New Roman"/>
          <w:sz w:val="21"/>
        </w:rPr>
        <w:t xml:space="preserve"> olabileceğini söyleyenlerin, böyle bir </w:t>
      </w:r>
      <w:proofErr w:type="spellStart"/>
      <w:r>
        <w:rPr>
          <w:rFonts w:ascii="Times New Roman" w:eastAsia="Times New Roman" w:hAnsi="Times New Roman"/>
          <w:sz w:val="21"/>
        </w:rPr>
        <w:t>icmâı</w:t>
      </w:r>
      <w:proofErr w:type="spellEnd"/>
      <w:r>
        <w:rPr>
          <w:rFonts w:ascii="Times New Roman" w:eastAsia="Times New Roman" w:hAnsi="Times New Roman"/>
          <w:sz w:val="21"/>
        </w:rPr>
        <w:t xml:space="preserve"> geçerli saymayan </w:t>
      </w:r>
      <w:proofErr w:type="spellStart"/>
      <w:r>
        <w:rPr>
          <w:rFonts w:ascii="Times New Roman" w:eastAsia="Times New Roman" w:hAnsi="Times New Roman"/>
          <w:sz w:val="21"/>
        </w:rPr>
        <w:t>Zâhirîlerin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icmâ</w:t>
      </w:r>
      <w:proofErr w:type="spellEnd"/>
      <w:r>
        <w:rPr>
          <w:rFonts w:ascii="Times New Roman" w:eastAsia="Times New Roman" w:hAnsi="Times New Roman"/>
          <w:sz w:val="21"/>
        </w:rPr>
        <w:t xml:space="preserve"> ehlinden sayıp saymayacaklarını tartışmaları gayet </w:t>
      </w:r>
      <w:proofErr w:type="spellStart"/>
      <w:r>
        <w:rPr>
          <w:rFonts w:ascii="Times New Roman" w:eastAsia="Times New Roman" w:hAnsi="Times New Roman"/>
          <w:sz w:val="21"/>
        </w:rPr>
        <w:t>tabiî</w:t>
      </w:r>
      <w:proofErr w:type="spellEnd"/>
      <w:r>
        <w:rPr>
          <w:rFonts w:ascii="Times New Roman" w:eastAsia="Times New Roman" w:hAnsi="Times New Roman"/>
          <w:sz w:val="21"/>
        </w:rPr>
        <w:t xml:space="preserve"> görülebilir. An-</w:t>
      </w:r>
      <w:proofErr w:type="spellStart"/>
      <w:r>
        <w:rPr>
          <w:rFonts w:ascii="Times New Roman" w:eastAsia="Times New Roman" w:hAnsi="Times New Roman"/>
          <w:sz w:val="21"/>
        </w:rPr>
        <w:t>cak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Zâhirîlere</w:t>
      </w:r>
      <w:proofErr w:type="spellEnd"/>
      <w:r>
        <w:rPr>
          <w:rFonts w:ascii="Times New Roman" w:eastAsia="Times New Roman" w:hAnsi="Times New Roman"/>
          <w:sz w:val="21"/>
        </w:rPr>
        <w:t xml:space="preserve"> karşı diğer bir yaklaşım daha vardır ki sadece onların </w:t>
      </w:r>
      <w:proofErr w:type="spellStart"/>
      <w:r>
        <w:rPr>
          <w:rFonts w:ascii="Times New Roman" w:eastAsia="Times New Roman" w:hAnsi="Times New Roman"/>
          <w:sz w:val="21"/>
        </w:rPr>
        <w:t>icmâ</w:t>
      </w:r>
      <w:proofErr w:type="spellEnd"/>
      <w:r>
        <w:rPr>
          <w:rFonts w:ascii="Times New Roman" w:eastAsia="Times New Roman" w:hAnsi="Times New Roman"/>
          <w:sz w:val="21"/>
        </w:rPr>
        <w:t xml:space="preserve"> konusundaki muhalefetlerinin dikkate alınmaması ile yetinmemekte, onların </w:t>
      </w:r>
      <w:proofErr w:type="spellStart"/>
      <w:r>
        <w:rPr>
          <w:rFonts w:ascii="Times New Roman" w:eastAsia="Times New Roman" w:hAnsi="Times New Roman"/>
          <w:sz w:val="21"/>
        </w:rPr>
        <w:t>icmâ</w:t>
      </w:r>
      <w:proofErr w:type="spellEnd"/>
      <w:r>
        <w:rPr>
          <w:rFonts w:ascii="Times New Roman" w:eastAsia="Times New Roman" w:hAnsi="Times New Roman"/>
          <w:sz w:val="21"/>
        </w:rPr>
        <w:t xml:space="preserve"> konusu olmayan herhangi bir mesele hakkındaki görüşlerinin de dikkate alınmaması gerektiğini savunmaktadır. Başka bir deyişle onların görüşleri-</w:t>
      </w:r>
      <w:proofErr w:type="spellStart"/>
      <w:r>
        <w:rPr>
          <w:rFonts w:ascii="Times New Roman" w:eastAsia="Times New Roman" w:hAnsi="Times New Roman"/>
          <w:sz w:val="21"/>
        </w:rPr>
        <w:t>nin</w:t>
      </w:r>
      <w:proofErr w:type="spellEnd"/>
      <w:r>
        <w:rPr>
          <w:rFonts w:ascii="Times New Roman" w:eastAsia="Times New Roman" w:hAnsi="Times New Roman"/>
          <w:sz w:val="21"/>
        </w:rPr>
        <w:t xml:space="preserve"> önemsenmemesi sadece </w:t>
      </w:r>
      <w:proofErr w:type="spellStart"/>
      <w:r>
        <w:rPr>
          <w:rFonts w:ascii="Times New Roman" w:eastAsia="Times New Roman" w:hAnsi="Times New Roman"/>
          <w:sz w:val="21"/>
        </w:rPr>
        <w:t>icmâ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ehl</w:t>
      </w:r>
      <w:proofErr w:type="spellEnd"/>
      <w:r>
        <w:rPr>
          <w:rFonts w:ascii="Times New Roman" w:eastAsia="Times New Roman" w:hAnsi="Times New Roman"/>
          <w:sz w:val="21"/>
        </w:rPr>
        <w:t xml:space="preserve">-i olup olmamaları açısından değil, aynı zamanda </w:t>
      </w:r>
      <w:proofErr w:type="spellStart"/>
      <w:r>
        <w:rPr>
          <w:rFonts w:ascii="Times New Roman" w:eastAsia="Times New Roman" w:hAnsi="Times New Roman"/>
          <w:sz w:val="21"/>
        </w:rPr>
        <w:t>kıyâsı</w:t>
      </w:r>
      <w:proofErr w:type="spellEnd"/>
      <w:r>
        <w:rPr>
          <w:rFonts w:ascii="Times New Roman" w:eastAsia="Times New Roman" w:hAnsi="Times New Roman"/>
          <w:sz w:val="21"/>
        </w:rPr>
        <w:t xml:space="preserve"> reddetmelerinden dolayıdır. </w:t>
      </w:r>
      <w:proofErr w:type="spellStart"/>
      <w:r>
        <w:rPr>
          <w:rFonts w:ascii="Times New Roman" w:eastAsia="Times New Roman" w:hAnsi="Times New Roman"/>
          <w:sz w:val="21"/>
        </w:rPr>
        <w:t>Ebû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İshâk</w:t>
      </w:r>
      <w:proofErr w:type="spellEnd"/>
      <w:r>
        <w:rPr>
          <w:rFonts w:ascii="Times New Roman" w:eastAsia="Times New Roman" w:hAnsi="Times New Roman"/>
          <w:sz w:val="21"/>
        </w:rPr>
        <w:t xml:space="preserve"> el-</w:t>
      </w:r>
      <w:proofErr w:type="spellStart"/>
      <w:r>
        <w:rPr>
          <w:rFonts w:ascii="Times New Roman" w:eastAsia="Times New Roman" w:hAnsi="Times New Roman"/>
          <w:sz w:val="21"/>
        </w:rPr>
        <w:t>İsferâyînî’den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nak</w:t>
      </w:r>
      <w:proofErr w:type="spellEnd"/>
      <w:r>
        <w:rPr>
          <w:rFonts w:ascii="Times New Roman" w:eastAsia="Times New Roman" w:hAnsi="Times New Roman"/>
          <w:sz w:val="21"/>
        </w:rPr>
        <w:t>-</w:t>
      </w:r>
      <w:proofErr w:type="spellStart"/>
      <w:r>
        <w:rPr>
          <w:rFonts w:ascii="Times New Roman" w:eastAsia="Times New Roman" w:hAnsi="Times New Roman"/>
          <w:sz w:val="21"/>
        </w:rPr>
        <w:t>ledildiğine</w:t>
      </w:r>
      <w:proofErr w:type="spellEnd"/>
      <w:r>
        <w:rPr>
          <w:rFonts w:ascii="Times New Roman" w:eastAsia="Times New Roman" w:hAnsi="Times New Roman"/>
          <w:sz w:val="21"/>
        </w:rPr>
        <w:t xml:space="preserve"> göre, cumhur </w:t>
      </w:r>
      <w:proofErr w:type="spellStart"/>
      <w:r>
        <w:rPr>
          <w:rFonts w:ascii="Times New Roman" w:eastAsia="Times New Roman" w:hAnsi="Times New Roman"/>
          <w:sz w:val="21"/>
        </w:rPr>
        <w:t>kıyâsı</w:t>
      </w:r>
      <w:proofErr w:type="spellEnd"/>
      <w:r>
        <w:rPr>
          <w:rFonts w:ascii="Times New Roman" w:eastAsia="Times New Roman" w:hAnsi="Times New Roman"/>
          <w:sz w:val="21"/>
        </w:rPr>
        <w:t xml:space="preserve"> reddedenlerin </w:t>
      </w:r>
      <w:proofErr w:type="spellStart"/>
      <w:r>
        <w:rPr>
          <w:rFonts w:ascii="Times New Roman" w:eastAsia="Times New Roman" w:hAnsi="Times New Roman"/>
          <w:sz w:val="21"/>
        </w:rPr>
        <w:t>ictihat</w:t>
      </w:r>
      <w:proofErr w:type="spellEnd"/>
      <w:r>
        <w:rPr>
          <w:rFonts w:ascii="Times New Roman" w:eastAsia="Times New Roman" w:hAnsi="Times New Roman"/>
          <w:sz w:val="21"/>
        </w:rPr>
        <w:t xml:space="preserve"> mertebesine ulaşamaya-cağı ve onlara yargı görevinin verilemeyeceğini görüşündedir.</w:t>
      </w:r>
      <w:r>
        <w:rPr>
          <w:rFonts w:ascii="Times New Roman" w:eastAsia="Times New Roman" w:hAnsi="Times New Roman"/>
          <w:sz w:val="12"/>
        </w:rPr>
        <w:t>85</w:t>
      </w:r>
    </w:p>
    <w:p w:rsidR="00D93C16" w:rsidRDefault="0061338C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3F2DBA30"/>
    <w:lvl w:ilvl="0" w:tplc="FFFFFFFF">
      <w:start w:val="8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8"/>
    <w:multiLevelType w:val="hybridMultilevel"/>
    <w:tmpl w:val="7644A4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9"/>
    <w:multiLevelType w:val="hybridMultilevel"/>
    <w:tmpl w:val="32FFF902"/>
    <w:lvl w:ilvl="0" w:tplc="FFFFFFFF">
      <w:start w:val="4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A"/>
    <w:multiLevelType w:val="hybridMultilevel"/>
    <w:tmpl w:val="684A481A"/>
    <w:lvl w:ilvl="0" w:tplc="FFFFFFFF">
      <w:start w:val="5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B"/>
    <w:multiLevelType w:val="hybridMultilevel"/>
    <w:tmpl w:val="579478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C"/>
    <w:multiLevelType w:val="hybridMultilevel"/>
    <w:tmpl w:val="749ABB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D"/>
    <w:multiLevelType w:val="hybridMultilevel"/>
    <w:tmpl w:val="3DC240FA"/>
    <w:lvl w:ilvl="0" w:tplc="FFFFFFFF">
      <w:start w:val="1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E"/>
    <w:multiLevelType w:val="hybridMultilevel"/>
    <w:tmpl w:val="1BA026FA"/>
    <w:lvl w:ilvl="0" w:tplc="FFFFFFFF">
      <w:start w:val="5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F"/>
    <w:multiLevelType w:val="hybridMultilevel"/>
    <w:tmpl w:val="79A1DEAA"/>
    <w:lvl w:ilvl="0" w:tplc="FFFFFFFF">
      <w:start w:val="59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0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1"/>
    <w:multiLevelType w:val="hybridMultilevel"/>
    <w:tmpl w:val="12E685F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2"/>
    <w:multiLevelType w:val="hybridMultilevel"/>
    <w:tmpl w:val="70C6A52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33"/>
    <w:multiLevelType w:val="hybridMultilevel"/>
    <w:tmpl w:val="520EEDD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63"/>
    <w:rsid w:val="000C4B63"/>
    <w:rsid w:val="00354863"/>
    <w:rsid w:val="00402397"/>
    <w:rsid w:val="00534153"/>
    <w:rsid w:val="0061338C"/>
    <w:rsid w:val="00656B16"/>
    <w:rsid w:val="00680C6B"/>
    <w:rsid w:val="00CB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63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3</cp:revision>
  <dcterms:created xsi:type="dcterms:W3CDTF">2020-07-17T16:21:00Z</dcterms:created>
  <dcterms:modified xsi:type="dcterms:W3CDTF">2020-07-17T22:34:00Z</dcterms:modified>
</cp:coreProperties>
</file>