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18" w:rsidRDefault="00615718" w:rsidP="00615718">
      <w:pPr>
        <w:spacing w:line="303" w:lineRule="auto"/>
        <w:ind w:left="6" w:firstLine="284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Doğrudan doğruya Dâvûd’un öğrencisi olamamış, fakat Ebû Bekr b. Dâvûd’dan aldığı derslerle Zâhirî anlayışı benimsemiş olan Abdullah b. Ahmed b. Muhammed İbnu’l-Muğallis de (324h./936m.) kendi döneminde Dâvûdîlerin reisi sayılmış ve kendisinden sonraki Zâhirîler için önemli bir referans olmuştur.</w:t>
      </w:r>
      <w:r>
        <w:rPr>
          <w:rFonts w:ascii="Times New Roman" w:eastAsia="Times New Roman" w:hAnsi="Times New Roman"/>
          <w:sz w:val="12"/>
        </w:rPr>
        <w:t>119</w:t>
      </w:r>
      <w:r>
        <w:rPr>
          <w:rFonts w:ascii="Times New Roman" w:eastAsia="Times New Roman" w:hAnsi="Times New Roman"/>
          <w:sz w:val="21"/>
        </w:rPr>
        <w:t xml:space="preserve"> Eserleri arasında </w:t>
      </w:r>
      <w:r>
        <w:rPr>
          <w:rFonts w:ascii="Times New Roman" w:eastAsia="Times New Roman" w:hAnsi="Times New Roman"/>
          <w:i/>
          <w:sz w:val="21"/>
        </w:rPr>
        <w:t>el-Muvaddah</w:t>
      </w:r>
      <w:r>
        <w:rPr>
          <w:rFonts w:ascii="Times New Roman" w:eastAsia="Times New Roman" w:hAnsi="Times New Roman"/>
          <w:sz w:val="21"/>
        </w:rPr>
        <w:t xml:space="preserve">, </w:t>
      </w:r>
      <w:r>
        <w:rPr>
          <w:rFonts w:ascii="Times New Roman" w:eastAsia="Times New Roman" w:hAnsi="Times New Roman"/>
          <w:i/>
          <w:sz w:val="21"/>
        </w:rPr>
        <w:t>el-Müncıh ve el-Mufsıh,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 xml:space="preserve">Cevâbâtu Kitâbi’l-Müzenî </w:t>
      </w:r>
      <w:r>
        <w:rPr>
          <w:rFonts w:ascii="Times New Roman" w:eastAsia="Times New Roman" w:hAnsi="Times New Roman"/>
          <w:sz w:val="21"/>
        </w:rPr>
        <w:t>ve</w:t>
      </w:r>
      <w:r>
        <w:rPr>
          <w:rFonts w:ascii="Times New Roman" w:eastAsia="Times New Roman" w:hAnsi="Times New Roman"/>
          <w:i/>
          <w:sz w:val="21"/>
        </w:rPr>
        <w:t xml:space="preserve"> Ahkâmu’l-Kur’ân </w:t>
      </w:r>
      <w:r>
        <w:rPr>
          <w:rFonts w:ascii="Times New Roman" w:eastAsia="Times New Roman" w:hAnsi="Times New Roman"/>
          <w:sz w:val="21"/>
        </w:rPr>
        <w:t>olduğu belirtilmektedir.</w:t>
      </w:r>
      <w:r>
        <w:rPr>
          <w:rFonts w:ascii="Times New Roman" w:eastAsia="Times New Roman" w:hAnsi="Times New Roman"/>
          <w:sz w:val="12"/>
        </w:rPr>
        <w:t>120</w:t>
      </w:r>
      <w:r>
        <w:rPr>
          <w:rFonts w:ascii="Times New Roman" w:eastAsia="Times New Roman" w:hAnsi="Times New Roman"/>
          <w:i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İbn</w:t>
      </w:r>
      <w:r>
        <w:rPr>
          <w:rFonts w:ascii="Times New Roman" w:eastAsia="Times New Roman" w:hAnsi="Times New Roman"/>
          <w:i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Hazm da İbnü’l-Muğallis’in görüşlerine önem vermiş ve zaman zaman onun görüşlerini nakletmiştir.</w:t>
      </w:r>
      <w:r>
        <w:rPr>
          <w:rFonts w:ascii="Times New Roman" w:eastAsia="Times New Roman" w:hAnsi="Times New Roman"/>
          <w:sz w:val="12"/>
        </w:rPr>
        <w:t>121</w:t>
      </w:r>
      <w:r>
        <w:rPr>
          <w:rFonts w:ascii="Times New Roman" w:eastAsia="Times New Roman" w:hAnsi="Times New Roman"/>
          <w:sz w:val="21"/>
        </w:rPr>
        <w:t xml:space="preserve"> İbn Hazm sahâbeden itibaren fakihleri sayarken </w:t>
      </w:r>
      <w:r>
        <w:rPr>
          <w:rFonts w:ascii="Times New Roman" w:eastAsia="Times New Roman" w:hAnsi="Times New Roman"/>
          <w:i/>
          <w:sz w:val="21"/>
        </w:rPr>
        <w:t>fukaha-i emsâr</w:t>
      </w:r>
      <w:r>
        <w:rPr>
          <w:rFonts w:ascii="Times New Roman" w:eastAsia="Times New Roman" w:hAnsi="Times New Roman"/>
          <w:sz w:val="21"/>
        </w:rPr>
        <w:t>’dan sonra bir grup fakihten bahsetmektedir. Bunlar arasın-da Zâhirîlerden üç kişiyi saymaktadır. Bunlar Dâvûd b. Alî, oğlu Ebû Bekr</w:t>
      </w:r>
    </w:p>
    <w:p w:rsidR="00615718" w:rsidRDefault="00615718" w:rsidP="0061571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pict>
          <v:line id="_x0000_s1026" style="position:absolute;z-index:-251656192" from="0,25.15pt" to="141.7pt,25.15pt" o:userdrawn="t" strokeweight=".25pt"/>
        </w:pict>
      </w:r>
    </w:p>
    <w:p w:rsidR="00615718" w:rsidRDefault="00615718" w:rsidP="00615718">
      <w:pPr>
        <w:spacing w:line="200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313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ind w:left="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112 Cessâs, </w:t>
      </w:r>
      <w:r>
        <w:rPr>
          <w:rFonts w:ascii="Times New Roman" w:eastAsia="Times New Roman" w:hAnsi="Times New Roman"/>
          <w:i/>
          <w:sz w:val="16"/>
        </w:rPr>
        <w:t>el-Fusûl</w:t>
      </w:r>
      <w:r>
        <w:rPr>
          <w:rFonts w:ascii="Times New Roman" w:eastAsia="Times New Roman" w:hAnsi="Times New Roman"/>
          <w:sz w:val="16"/>
        </w:rPr>
        <w:t>, IV/32.</w:t>
      </w:r>
    </w:p>
    <w:p w:rsidR="00615718" w:rsidRDefault="00615718" w:rsidP="00615718">
      <w:pPr>
        <w:spacing w:line="27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ind w:left="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113 Uceyl Câsim en-Neşemî, (Cessâs, </w:t>
      </w:r>
      <w:r>
        <w:rPr>
          <w:rFonts w:ascii="Times New Roman" w:eastAsia="Times New Roman" w:hAnsi="Times New Roman"/>
          <w:i/>
          <w:sz w:val="16"/>
        </w:rPr>
        <w:t>el-Fusûl</w:t>
      </w:r>
      <w:r>
        <w:rPr>
          <w:rFonts w:ascii="Times New Roman" w:eastAsia="Times New Roman" w:hAnsi="Times New Roman"/>
          <w:sz w:val="16"/>
        </w:rPr>
        <w:t>, tahkik dipnotu), IV/32.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ind w:left="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114 İbn Hazm, </w:t>
      </w:r>
      <w:r>
        <w:rPr>
          <w:rFonts w:ascii="Times New Roman" w:eastAsia="Times New Roman" w:hAnsi="Times New Roman"/>
          <w:i/>
          <w:sz w:val="16"/>
        </w:rPr>
        <w:t>el-İhkâm</w:t>
      </w:r>
      <w:r>
        <w:rPr>
          <w:rFonts w:ascii="Times New Roman" w:eastAsia="Times New Roman" w:hAnsi="Times New Roman"/>
          <w:sz w:val="16"/>
        </w:rPr>
        <w:t>, II/546.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numPr>
          <w:ilvl w:val="0"/>
          <w:numId w:val="5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Şîrâzî</w:t>
      </w:r>
      <w:r>
        <w:rPr>
          <w:rFonts w:ascii="Times New Roman" w:eastAsia="Times New Roman" w:hAnsi="Times New Roman"/>
          <w:i/>
          <w:sz w:val="16"/>
        </w:rPr>
        <w:t>, Tabakâtü’l-Fukahâ</w:t>
      </w:r>
      <w:r>
        <w:rPr>
          <w:rFonts w:ascii="Times New Roman" w:eastAsia="Times New Roman" w:hAnsi="Times New Roman"/>
          <w:sz w:val="16"/>
        </w:rPr>
        <w:t>, s. 176.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  <w:sz w:val="16"/>
        </w:rPr>
      </w:pPr>
    </w:p>
    <w:p w:rsidR="00615718" w:rsidRDefault="00615718" w:rsidP="00615718">
      <w:pPr>
        <w:numPr>
          <w:ilvl w:val="0"/>
          <w:numId w:val="5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Şîrâzî, </w:t>
      </w:r>
      <w:r>
        <w:rPr>
          <w:rFonts w:ascii="Times New Roman" w:eastAsia="Times New Roman" w:hAnsi="Times New Roman"/>
          <w:i/>
          <w:sz w:val="16"/>
        </w:rPr>
        <w:t>Tabakâtü’l-Fukahâ</w:t>
      </w:r>
      <w:r>
        <w:rPr>
          <w:rFonts w:ascii="Times New Roman" w:eastAsia="Times New Roman" w:hAnsi="Times New Roman"/>
          <w:sz w:val="16"/>
        </w:rPr>
        <w:t>, s. 177.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  <w:sz w:val="16"/>
        </w:rPr>
      </w:pPr>
    </w:p>
    <w:p w:rsidR="00615718" w:rsidRDefault="00615718" w:rsidP="00615718">
      <w:pPr>
        <w:numPr>
          <w:ilvl w:val="0"/>
          <w:numId w:val="5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Şîrâzî, </w:t>
      </w:r>
      <w:r>
        <w:rPr>
          <w:rFonts w:ascii="Times New Roman" w:eastAsia="Times New Roman" w:hAnsi="Times New Roman"/>
          <w:i/>
          <w:sz w:val="16"/>
        </w:rPr>
        <w:t>Tabakâtü’l-Fukahâ</w:t>
      </w:r>
      <w:r>
        <w:rPr>
          <w:rFonts w:ascii="Times New Roman" w:eastAsia="Times New Roman" w:hAnsi="Times New Roman"/>
          <w:sz w:val="16"/>
        </w:rPr>
        <w:t>, s. 177.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  <w:sz w:val="16"/>
        </w:rPr>
      </w:pPr>
    </w:p>
    <w:p w:rsidR="00615718" w:rsidRDefault="00615718" w:rsidP="00615718">
      <w:pPr>
        <w:numPr>
          <w:ilvl w:val="0"/>
          <w:numId w:val="5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İbnü’n-Nedîm, s. 273.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  <w:sz w:val="16"/>
        </w:rPr>
      </w:pPr>
    </w:p>
    <w:p w:rsidR="00615718" w:rsidRDefault="00615718" w:rsidP="00615718">
      <w:pPr>
        <w:numPr>
          <w:ilvl w:val="0"/>
          <w:numId w:val="5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İbnü’n-Nedîm, s. 272; Safedî, III/48; Şîrâzî, </w:t>
      </w:r>
      <w:r>
        <w:rPr>
          <w:rFonts w:ascii="Times New Roman" w:eastAsia="Times New Roman" w:hAnsi="Times New Roman"/>
          <w:i/>
          <w:sz w:val="16"/>
        </w:rPr>
        <w:t>Tabakâtü’l-Fukahâ</w:t>
      </w:r>
      <w:r>
        <w:rPr>
          <w:rFonts w:ascii="Times New Roman" w:eastAsia="Times New Roman" w:hAnsi="Times New Roman"/>
          <w:sz w:val="16"/>
        </w:rPr>
        <w:t>, s. 177.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  <w:sz w:val="16"/>
        </w:rPr>
      </w:pPr>
    </w:p>
    <w:p w:rsidR="00615718" w:rsidRDefault="00615718" w:rsidP="00615718">
      <w:pPr>
        <w:numPr>
          <w:ilvl w:val="0"/>
          <w:numId w:val="5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İbnü’n-Nedîm, s. 272; Şîrâzî, </w:t>
      </w:r>
      <w:r>
        <w:rPr>
          <w:rFonts w:ascii="Times New Roman" w:eastAsia="Times New Roman" w:hAnsi="Times New Roman"/>
          <w:i/>
          <w:sz w:val="16"/>
        </w:rPr>
        <w:t>Tabakâtü’l-Fukahâ</w:t>
      </w:r>
      <w:r>
        <w:rPr>
          <w:rFonts w:ascii="Times New Roman" w:eastAsia="Times New Roman" w:hAnsi="Times New Roman"/>
          <w:sz w:val="16"/>
        </w:rPr>
        <w:t>, s. 177.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  <w:sz w:val="16"/>
        </w:rPr>
      </w:pPr>
    </w:p>
    <w:p w:rsidR="00615718" w:rsidRDefault="00615718" w:rsidP="00615718">
      <w:pPr>
        <w:numPr>
          <w:ilvl w:val="0"/>
          <w:numId w:val="5"/>
        </w:num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Bkz: İbn Hazm, </w:t>
      </w:r>
      <w:r>
        <w:rPr>
          <w:rFonts w:ascii="Times New Roman" w:eastAsia="Times New Roman" w:hAnsi="Times New Roman"/>
          <w:i/>
          <w:sz w:val="16"/>
        </w:rPr>
        <w:t>el-İhkâm</w:t>
      </w:r>
      <w:r>
        <w:rPr>
          <w:rFonts w:ascii="Times New Roman" w:eastAsia="Times New Roman" w:hAnsi="Times New Roman"/>
          <w:sz w:val="16"/>
        </w:rPr>
        <w:t>, I/609.</w:t>
      </w:r>
    </w:p>
    <w:p w:rsidR="00615718" w:rsidRDefault="00615718" w:rsidP="00615718">
      <w:pPr>
        <w:tabs>
          <w:tab w:val="left" w:pos="286"/>
        </w:tabs>
        <w:spacing w:line="0" w:lineRule="atLeast"/>
        <w:ind w:left="286" w:hanging="286"/>
        <w:rPr>
          <w:rFonts w:ascii="Times New Roman" w:eastAsia="Times New Roman" w:hAnsi="Times New Roman"/>
          <w:sz w:val="16"/>
        </w:rPr>
        <w:sectPr w:rsidR="00615718">
          <w:pgSz w:w="9240" w:h="13663"/>
          <w:pgMar w:top="1248" w:right="1301" w:bottom="699" w:left="1134" w:header="0" w:footer="0" w:gutter="0"/>
          <w:cols w:space="0" w:equalWidth="0">
            <w:col w:w="6806"/>
          </w:cols>
          <w:docGrid w:linePitch="360"/>
        </w:sectPr>
      </w:pPr>
    </w:p>
    <w:p w:rsidR="00615718" w:rsidRDefault="00615718" w:rsidP="00615718">
      <w:pPr>
        <w:tabs>
          <w:tab w:val="left" w:pos="5840"/>
        </w:tabs>
        <w:spacing w:line="0" w:lineRule="atLeast"/>
        <w:rPr>
          <w:rFonts w:ascii="Times New Roman" w:eastAsia="Times New Roman" w:hAnsi="Times New Roman"/>
          <w:i/>
          <w:sz w:val="13"/>
        </w:rPr>
      </w:pPr>
      <w:bookmarkStart w:id="0" w:name="page24"/>
      <w:bookmarkEnd w:id="0"/>
      <w:r>
        <w:rPr>
          <w:rFonts w:ascii="Times New Roman" w:eastAsia="Times New Roman" w:hAnsi="Times New Roman"/>
          <w:sz w:val="17"/>
        </w:rPr>
        <w:lastRenderedPageBreak/>
        <w:t>160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3"/>
        </w:rPr>
        <w:t>OĞUZHAN TAN</w:t>
      </w:r>
    </w:p>
    <w:p w:rsidR="00615718" w:rsidRDefault="00615718" w:rsidP="00615718">
      <w:pPr>
        <w:spacing w:line="200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00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54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84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Muhammed ve İbnü’l-Muğallis’tir.</w:t>
      </w:r>
      <w:r>
        <w:rPr>
          <w:rFonts w:ascii="Times New Roman" w:eastAsia="Times New Roman" w:hAnsi="Times New Roman"/>
          <w:sz w:val="12"/>
        </w:rPr>
        <w:t>122</w:t>
      </w:r>
      <w:r>
        <w:rPr>
          <w:rFonts w:ascii="Times New Roman" w:eastAsia="Times New Roman" w:hAnsi="Times New Roman"/>
          <w:sz w:val="22"/>
        </w:rPr>
        <w:t xml:space="preserve"> İbn Abdilberr (463h./1071m.), İbnü’l-Muğallis’in (427h./1036m.) </w:t>
      </w:r>
      <w:r>
        <w:rPr>
          <w:rFonts w:ascii="Times New Roman" w:eastAsia="Times New Roman" w:hAnsi="Times New Roman"/>
          <w:i/>
          <w:sz w:val="22"/>
        </w:rPr>
        <w:t>el-Muvaddah alâ Mezhebi Ehli’z-Zâhir</w:t>
      </w:r>
      <w:r>
        <w:rPr>
          <w:rFonts w:ascii="Times New Roman" w:eastAsia="Times New Roman" w:hAnsi="Times New Roman"/>
          <w:sz w:val="22"/>
        </w:rPr>
        <w:t xml:space="preserve"> adlı ese-rinden alıntıda bulunmaktadır.</w:t>
      </w:r>
      <w:r>
        <w:rPr>
          <w:rFonts w:ascii="Times New Roman" w:eastAsia="Times New Roman" w:hAnsi="Times New Roman"/>
          <w:sz w:val="12"/>
        </w:rPr>
        <w:t>123</w:t>
      </w:r>
      <w:r>
        <w:rPr>
          <w:rFonts w:ascii="Times New Roman" w:eastAsia="Times New Roman" w:hAnsi="Times New Roman"/>
          <w:sz w:val="22"/>
        </w:rPr>
        <w:t xml:space="preserve"> Ayrıca İbnü’l-Muğallis’in babası olan Ebû Abdillah Ahmed b. Muhammed ed-Dâvûdî’nin (318h./930m.) </w:t>
      </w:r>
      <w:r>
        <w:rPr>
          <w:rFonts w:ascii="Times New Roman" w:eastAsia="Times New Roman" w:hAnsi="Times New Roman"/>
          <w:i/>
          <w:sz w:val="22"/>
        </w:rPr>
        <w:t>el-Câmi’ li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 xml:space="preserve">Mesâili Ebî Süleyman Dâvûd b. Alî </w:t>
      </w:r>
      <w:r>
        <w:rPr>
          <w:rFonts w:ascii="Times New Roman" w:eastAsia="Times New Roman" w:hAnsi="Times New Roman"/>
          <w:sz w:val="22"/>
        </w:rPr>
        <w:t>adlı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eserinin “hayızlı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kadının oruç tutma-sı ve namaz kılması” bölümünden Dâvûd’un görüşlerini nakletmekte ve bu görüşleri eleştirmektedir.</w:t>
      </w:r>
      <w:r>
        <w:rPr>
          <w:rFonts w:ascii="Times New Roman" w:eastAsia="Times New Roman" w:hAnsi="Times New Roman"/>
          <w:sz w:val="12"/>
        </w:rPr>
        <w:t>124</w:t>
      </w:r>
      <w:r>
        <w:rPr>
          <w:rFonts w:ascii="Times New Roman" w:eastAsia="Times New Roman" w:hAnsi="Times New Roman"/>
          <w:sz w:val="22"/>
        </w:rPr>
        <w:t xml:space="preserve"> İbn Abdilberr bu eserleri gördüğüne ve bunlardan nakilde bulunduğuna göre onun muasırı ve yakın arkadaşı olan</w:t>
      </w:r>
      <w:r>
        <w:rPr>
          <w:rFonts w:ascii="Times New Roman" w:eastAsia="Times New Roman" w:hAnsi="Times New Roman"/>
          <w:sz w:val="12"/>
        </w:rPr>
        <w:t>125</w:t>
      </w:r>
      <w:r>
        <w:rPr>
          <w:rFonts w:ascii="Times New Roman" w:eastAsia="Times New Roman" w:hAnsi="Times New Roman"/>
          <w:sz w:val="22"/>
        </w:rPr>
        <w:t xml:space="preserve"> İbn Hazm’ın da bu eserlerden yararlanmış olma ihtimali yüksektir.</w:t>
      </w:r>
    </w:p>
    <w:p w:rsidR="00615718" w:rsidRDefault="00615718" w:rsidP="00615718">
      <w:pPr>
        <w:spacing w:line="6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84" w:lineRule="auto"/>
        <w:ind w:firstLine="283"/>
        <w:jc w:val="both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22"/>
        </w:rPr>
        <w:t>Zâhirî mezhebinin Bağdat dışındaki şehirlere yayılmasında İbnü’l Muğallis’in çok önemli bir payı olduğu belirtilmektedir.</w:t>
      </w:r>
      <w:r>
        <w:rPr>
          <w:rFonts w:ascii="Times New Roman" w:eastAsia="Times New Roman" w:hAnsi="Times New Roman"/>
          <w:sz w:val="12"/>
        </w:rPr>
        <w:t>126</w:t>
      </w:r>
    </w:p>
    <w:p w:rsidR="00615718" w:rsidRDefault="00615718" w:rsidP="00615718">
      <w:pPr>
        <w:spacing w:line="1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84" w:lineRule="auto"/>
        <w:ind w:firstLine="283"/>
        <w:jc w:val="both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22"/>
        </w:rPr>
        <w:t>İbnu’l-Muğallis’ten mezhebin temel görüşlerini Ebu’l-Hasen Haydera b. Ömer ez-Zindeverdî almıştır. Mezhep onun sayesinde Bağdatlılar tarafın-dan daha etraflıca öğrenilmiştir. Aynı şekilde İbnü’l-Muğallis’in oğlu da İbn Muğallis’ten Zâhirî mezhebini öğrenmiştir.</w:t>
      </w:r>
      <w:r>
        <w:rPr>
          <w:rFonts w:ascii="Times New Roman" w:eastAsia="Times New Roman" w:hAnsi="Times New Roman"/>
          <w:sz w:val="12"/>
        </w:rPr>
        <w:t>127</w:t>
      </w:r>
    </w:p>
    <w:p w:rsidR="00615718" w:rsidRDefault="00615718" w:rsidP="00615718">
      <w:pPr>
        <w:spacing w:line="3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87" w:lineRule="auto"/>
        <w:ind w:firstLine="283"/>
        <w:jc w:val="both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22"/>
        </w:rPr>
        <w:t xml:space="preserve">Bunlardan sonra gelen ve üçüncü tabaka Zâhirî ulemadan olan Kâdî Ebu’l-Abbâs Ahmed b. Sâlih el-Mansûrî, mezhebin önemli alimlerinden olup </w:t>
      </w:r>
      <w:r>
        <w:rPr>
          <w:rFonts w:ascii="Times New Roman" w:eastAsia="Times New Roman" w:hAnsi="Times New Roman"/>
          <w:i/>
          <w:sz w:val="22"/>
        </w:rPr>
        <w:t xml:space="preserve">el-Misbâh </w:t>
      </w:r>
      <w:r>
        <w:rPr>
          <w:rFonts w:ascii="Times New Roman" w:eastAsia="Times New Roman" w:hAnsi="Times New Roman"/>
          <w:sz w:val="22"/>
        </w:rPr>
        <w:t>adlı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bir eser telif etmiştir.</w:t>
      </w:r>
      <w:r>
        <w:rPr>
          <w:rFonts w:ascii="Times New Roman" w:eastAsia="Times New Roman" w:hAnsi="Times New Roman"/>
          <w:sz w:val="12"/>
        </w:rPr>
        <w:t>128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Yine Kadi’l-Kudât Ebû Saîd Bişr b. el-Huseyn, Ebû Saîd er-Rakkî, Ebu’t-Tayyib İbnü’l-Hallâl ve İbrâhim b. Ahmed er-Rubâî Zâhirîliği sürdüren fakihler arasında sayılmaktadır.</w:t>
      </w:r>
      <w:r>
        <w:rPr>
          <w:rFonts w:ascii="Times New Roman" w:eastAsia="Times New Roman" w:hAnsi="Times New Roman"/>
          <w:sz w:val="12"/>
        </w:rPr>
        <w:t>129</w:t>
      </w:r>
      <w:r>
        <w:rPr>
          <w:rFonts w:ascii="Times New Roman" w:eastAsia="Times New Roman" w:hAnsi="Times New Roman"/>
          <w:sz w:val="22"/>
        </w:rPr>
        <w:t xml:space="preserve"> İbn Nedîm, er-Rubâî’nin kendisinin arkadaşı olduğunu ve Mısırda vefat ettiğini söylemekte-dir. İbn Nedîm, kendisiyle muasır olan başka bir Zâhirîden daha bahsetmek-tedir ki, o da Ebu’l-Hasen el-Cezerî’dir. İbnu’n-Nedîm, </w:t>
      </w:r>
      <w:r>
        <w:rPr>
          <w:rFonts w:ascii="Times New Roman" w:eastAsia="Times New Roman" w:hAnsi="Times New Roman"/>
          <w:i/>
          <w:sz w:val="22"/>
        </w:rPr>
        <w:t>el-Fihrist</w:t>
      </w:r>
      <w:r>
        <w:rPr>
          <w:rFonts w:ascii="Times New Roman" w:eastAsia="Times New Roman" w:hAnsi="Times New Roman"/>
          <w:sz w:val="22"/>
        </w:rPr>
        <w:t>’te Cezerî hakkında şu ifadeyi kullanmaktadır: “O, Adudü’d-Devle tarafından Bağdat’ın doğu tarafına kâdi olarak atanmış ve şu ana kadar (377h./987m.) bu görevi sürdürmektedir.”</w:t>
      </w:r>
      <w:r>
        <w:rPr>
          <w:rFonts w:ascii="Times New Roman" w:eastAsia="Times New Roman" w:hAnsi="Times New Roman"/>
          <w:sz w:val="12"/>
        </w:rPr>
        <w:t>130</w:t>
      </w:r>
    </w:p>
    <w:p w:rsidR="00615718" w:rsidRDefault="00615718" w:rsidP="0061571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2"/>
        </w:rPr>
        <w:pict>
          <v:line id="_x0000_s1027" style="position:absolute;z-index:-251655168" from=".15pt,16.6pt" to="141.9pt,16.6pt" o:userdrawn="t" strokeweight=".25pt"/>
        </w:pict>
      </w:r>
    </w:p>
    <w:p w:rsidR="00615718" w:rsidRDefault="00615718" w:rsidP="00615718">
      <w:pPr>
        <w:spacing w:line="342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122 İbn Hazm, </w:t>
      </w:r>
      <w:r>
        <w:rPr>
          <w:rFonts w:ascii="Times New Roman" w:eastAsia="Times New Roman" w:hAnsi="Times New Roman"/>
          <w:i/>
          <w:sz w:val="16"/>
        </w:rPr>
        <w:t>el-İhkâm</w:t>
      </w:r>
      <w:r>
        <w:rPr>
          <w:rFonts w:ascii="Times New Roman" w:eastAsia="Times New Roman" w:hAnsi="Times New Roman"/>
          <w:sz w:val="16"/>
        </w:rPr>
        <w:t>, II/96.</w:t>
      </w:r>
    </w:p>
    <w:p w:rsidR="00615718" w:rsidRDefault="00615718" w:rsidP="00615718">
      <w:pPr>
        <w:spacing w:line="27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50" w:lineRule="auto"/>
        <w:ind w:left="280" w:hanging="282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123 Ebû Ömer Yûsuf b. Abdilberr, </w:t>
      </w:r>
      <w:r>
        <w:rPr>
          <w:rFonts w:ascii="Times New Roman" w:eastAsia="Times New Roman" w:hAnsi="Times New Roman"/>
          <w:i/>
          <w:sz w:val="16"/>
        </w:rPr>
        <w:t>el-İstizkârü’l-Câmi’ li Mezâhibi Fukahâi’l-Emsâr ve Ulemâi’l-Aktâr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fîmâ Tedammenehu’l-Muvatta min Meânî’r-Re’y ve’l-Âsâr ve Şerhu Zâlik Küllih bi’l-Îcâz ve’l-İhtisâr</w:t>
      </w:r>
      <w:r>
        <w:rPr>
          <w:rFonts w:ascii="Times New Roman" w:eastAsia="Times New Roman" w:hAnsi="Times New Roman"/>
          <w:sz w:val="16"/>
        </w:rPr>
        <w:t>,</w:t>
      </w:r>
      <w:r>
        <w:rPr>
          <w:rFonts w:ascii="Times New Roman" w:eastAsia="Times New Roman" w:hAnsi="Times New Roman"/>
          <w:i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Dâru Kuteybe li’t-Tibâ ve’n-Neşr, Beyrût 1993, I/308.</w:t>
      </w:r>
    </w:p>
    <w:p w:rsidR="00615718" w:rsidRDefault="00615718" w:rsidP="00615718">
      <w:pPr>
        <w:spacing w:line="1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124 İbn Abdilberr, </w:t>
      </w:r>
      <w:r>
        <w:rPr>
          <w:rFonts w:ascii="Times New Roman" w:eastAsia="Times New Roman" w:hAnsi="Times New Roman"/>
          <w:i/>
          <w:sz w:val="16"/>
        </w:rPr>
        <w:t>el-İstizkâr</w:t>
      </w:r>
      <w:r>
        <w:rPr>
          <w:rFonts w:ascii="Times New Roman" w:eastAsia="Times New Roman" w:hAnsi="Times New Roman"/>
          <w:sz w:val="16"/>
        </w:rPr>
        <w:t>, I/309.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125 İbn Kesîr, XV/796; İbn Hazm</w:t>
      </w:r>
      <w:r>
        <w:rPr>
          <w:rFonts w:ascii="Times New Roman" w:eastAsia="Times New Roman" w:hAnsi="Times New Roman"/>
          <w:i/>
          <w:sz w:val="16"/>
        </w:rPr>
        <w:t>, Resâil</w:t>
      </w:r>
      <w:r>
        <w:rPr>
          <w:rFonts w:ascii="Times New Roman" w:eastAsia="Times New Roman" w:hAnsi="Times New Roman"/>
          <w:sz w:val="16"/>
        </w:rPr>
        <w:t>, II/180.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126 Şîrâzî, </w:t>
      </w:r>
      <w:r>
        <w:rPr>
          <w:rFonts w:ascii="Times New Roman" w:eastAsia="Times New Roman" w:hAnsi="Times New Roman"/>
          <w:i/>
          <w:sz w:val="16"/>
        </w:rPr>
        <w:t>Tabakâtü’l-Fukahâ</w:t>
      </w:r>
      <w:r>
        <w:rPr>
          <w:rFonts w:ascii="Times New Roman" w:eastAsia="Times New Roman" w:hAnsi="Times New Roman"/>
          <w:sz w:val="16"/>
        </w:rPr>
        <w:t>, s. 177.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127 Şîrâzî, </w:t>
      </w:r>
      <w:r>
        <w:rPr>
          <w:rFonts w:ascii="Times New Roman" w:eastAsia="Times New Roman" w:hAnsi="Times New Roman"/>
          <w:i/>
          <w:sz w:val="16"/>
        </w:rPr>
        <w:t>Tabakâtü’l-Fukahâ</w:t>
      </w:r>
      <w:r>
        <w:rPr>
          <w:rFonts w:ascii="Times New Roman" w:eastAsia="Times New Roman" w:hAnsi="Times New Roman"/>
          <w:sz w:val="16"/>
        </w:rPr>
        <w:t>, s. 177.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128 İbnü’n-Nedîm, s. 273; Şîrâzî, </w:t>
      </w:r>
      <w:r>
        <w:rPr>
          <w:rFonts w:ascii="Times New Roman" w:eastAsia="Times New Roman" w:hAnsi="Times New Roman"/>
          <w:i/>
          <w:sz w:val="16"/>
        </w:rPr>
        <w:t>Tabakâtü’l-Fukahâ</w:t>
      </w:r>
      <w:r>
        <w:rPr>
          <w:rFonts w:ascii="Times New Roman" w:eastAsia="Times New Roman" w:hAnsi="Times New Roman"/>
          <w:sz w:val="16"/>
        </w:rPr>
        <w:t>, s. 178.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129 İbnü’n-Nedîm, s. 273.</w:t>
      </w:r>
    </w:p>
    <w:p w:rsidR="00615718" w:rsidRDefault="00615718" w:rsidP="00615718">
      <w:pPr>
        <w:spacing w:line="8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130 İbnü’n-Nedîm, s. 273.</w:t>
      </w:r>
    </w:p>
    <w:p w:rsidR="00615718" w:rsidRDefault="00615718" w:rsidP="00615718">
      <w:pPr>
        <w:spacing w:line="0" w:lineRule="atLeast"/>
        <w:rPr>
          <w:rFonts w:ascii="Times New Roman" w:eastAsia="Times New Roman" w:hAnsi="Times New Roman"/>
          <w:sz w:val="16"/>
        </w:rPr>
        <w:sectPr w:rsidR="00615718">
          <w:pgSz w:w="9240" w:h="13663"/>
          <w:pgMar w:top="1237" w:right="1141" w:bottom="699" w:left="1300" w:header="0" w:footer="0" w:gutter="0"/>
          <w:cols w:space="0" w:equalWidth="0">
            <w:col w:w="6800"/>
          </w:cols>
          <w:docGrid w:linePitch="360"/>
        </w:sect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0"/>
        <w:gridCol w:w="1480"/>
      </w:tblGrid>
      <w:tr w:rsidR="00615718" w:rsidTr="000C5968">
        <w:trPr>
          <w:trHeight w:val="234"/>
        </w:trPr>
        <w:tc>
          <w:tcPr>
            <w:tcW w:w="5320" w:type="dxa"/>
            <w:shd w:val="clear" w:color="auto" w:fill="auto"/>
            <w:vAlign w:val="bottom"/>
          </w:tcPr>
          <w:p w:rsidR="00615718" w:rsidRDefault="00615718" w:rsidP="000C5968">
            <w:pPr>
              <w:spacing w:line="0" w:lineRule="atLeast"/>
              <w:rPr>
                <w:rFonts w:ascii="Times New Roman" w:eastAsia="Times New Roman" w:hAnsi="Times New Roman"/>
                <w:i/>
                <w:sz w:val="14"/>
              </w:rPr>
            </w:pPr>
            <w:bookmarkStart w:id="1" w:name="page25"/>
            <w:bookmarkEnd w:id="1"/>
            <w:r>
              <w:rPr>
                <w:rFonts w:ascii="Times New Roman" w:eastAsia="Times New Roman" w:hAnsi="Times New Roman"/>
                <w:i/>
                <w:sz w:val="14"/>
              </w:rPr>
              <w:lastRenderedPageBreak/>
              <w:t>Kökeni Oluşumu ve Algılanışı Bakımından İbn Hazm Öncesinde Zâhirîlik</w:t>
            </w:r>
          </w:p>
        </w:tc>
        <w:tc>
          <w:tcPr>
            <w:tcW w:w="1480" w:type="dxa"/>
            <w:shd w:val="clear" w:color="auto" w:fill="auto"/>
            <w:vAlign w:val="bottom"/>
          </w:tcPr>
          <w:p w:rsidR="00615718" w:rsidRDefault="00615718" w:rsidP="000C5968">
            <w:pPr>
              <w:spacing w:line="0" w:lineRule="atLeast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161</w:t>
            </w:r>
          </w:p>
        </w:tc>
      </w:tr>
    </w:tbl>
    <w:p w:rsidR="00615718" w:rsidRDefault="00615718" w:rsidP="00615718">
      <w:pPr>
        <w:spacing w:line="200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00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04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84" w:lineRule="auto"/>
        <w:ind w:left="6" w:firstLine="284"/>
        <w:jc w:val="both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22"/>
        </w:rPr>
        <w:t>Kâdî Ebu’l-Hasen Abdulazîz b. Ahmed el-Hazerî ve Ebû Bekr Muhammed b. Ömer b. Muhammed b. İsmâîl b. Ubeydullâh b. el-Ahdar da yine önemli Zâhirî alimlerden sayılmıştır.</w:t>
      </w:r>
      <w:r>
        <w:rPr>
          <w:rFonts w:ascii="Times New Roman" w:eastAsia="Times New Roman" w:hAnsi="Times New Roman"/>
          <w:sz w:val="12"/>
        </w:rPr>
        <w:t>131</w:t>
      </w:r>
    </w:p>
    <w:p w:rsidR="00615718" w:rsidRDefault="00615718" w:rsidP="00615718">
      <w:pPr>
        <w:spacing w:line="2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84" w:lineRule="auto"/>
        <w:ind w:left="6"/>
        <w:jc w:val="righ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Mezhebi, Hazerî’den Kâdî Ebû Alî ed-Dâvûdî almıştır. Ondan sonra ise Kâdî Ebu’l-Ferec el-Fâmî eş-Şîrâzî de kendi döneminde mezhebin imâmı olmuştur. Fâmî, Kelam’da da Mutezile mezhebinin önde gelenlerindendir.</w:t>
      </w:r>
      <w:r>
        <w:rPr>
          <w:rFonts w:ascii="Times New Roman" w:eastAsia="Times New Roman" w:hAnsi="Times New Roman"/>
          <w:sz w:val="12"/>
        </w:rPr>
        <w:t>132</w:t>
      </w:r>
      <w:r>
        <w:rPr>
          <w:rFonts w:ascii="Times New Roman" w:eastAsia="Times New Roman" w:hAnsi="Times New Roman"/>
          <w:sz w:val="22"/>
        </w:rPr>
        <w:t xml:space="preserve"> Şirâzî, kendisi çocukken Şîrâz’da onunla münazara ettiğini söylemektedir.</w:t>
      </w:r>
      <w:r>
        <w:rPr>
          <w:rFonts w:ascii="Times New Roman" w:eastAsia="Times New Roman" w:hAnsi="Times New Roman"/>
          <w:sz w:val="12"/>
        </w:rPr>
        <w:t>133</w:t>
      </w:r>
      <w:r>
        <w:rPr>
          <w:rFonts w:ascii="Times New Roman" w:eastAsia="Times New Roman" w:hAnsi="Times New Roman"/>
          <w:sz w:val="22"/>
        </w:rPr>
        <w:t xml:space="preserve"> Zâhirî mezhebi mensupları Bağdat’ta bir süre tamamen kaybolmuş, Şîrâz’da ise sadece Ebu’l-Ferec el-Fâmî’nin ashabından bir kısmı kalmıştır. Kâdî Ebû Bekr b. el-Ahdar’ın </w:t>
      </w:r>
      <w:r>
        <w:rPr>
          <w:rFonts w:ascii="Times New Roman" w:eastAsia="Times New Roman" w:hAnsi="Times New Roman"/>
          <w:i/>
          <w:sz w:val="22"/>
        </w:rPr>
        <w:t>Ahbâru Ehli’z-Zâhir</w:t>
      </w:r>
      <w:r>
        <w:rPr>
          <w:rFonts w:ascii="Times New Roman" w:eastAsia="Times New Roman" w:hAnsi="Times New Roman"/>
          <w:sz w:val="22"/>
        </w:rPr>
        <w:t xml:space="preserve"> adlı eserinde Yûsuf b. Ömer b. Mu-hammed b. Yûsuf’un (356h./967m.) Malikî mezhebinden Dâvûd’un mezhe-bine geçtiğini, bu mezhepte ön plana çıktığını  ve Muhammed b. Dâvûd’un</w:t>
      </w:r>
    </w:p>
    <w:p w:rsidR="00615718" w:rsidRDefault="00615718" w:rsidP="00615718">
      <w:pPr>
        <w:spacing w:line="2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0" w:lineRule="atLeast"/>
        <w:ind w:left="6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i/>
          <w:sz w:val="22"/>
        </w:rPr>
        <w:t xml:space="preserve">el-Îcâz </w:t>
      </w:r>
      <w:r>
        <w:rPr>
          <w:rFonts w:ascii="Times New Roman" w:eastAsia="Times New Roman" w:hAnsi="Times New Roman"/>
          <w:sz w:val="22"/>
        </w:rPr>
        <w:t>adlı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eserini tamamladığını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söylediği de nakledilmiştir.</w:t>
      </w:r>
      <w:r>
        <w:rPr>
          <w:rFonts w:ascii="Times New Roman" w:eastAsia="Times New Roman" w:hAnsi="Times New Roman"/>
          <w:sz w:val="12"/>
        </w:rPr>
        <w:t>134</w:t>
      </w:r>
    </w:p>
    <w:p w:rsidR="00615718" w:rsidRDefault="00615718" w:rsidP="00615718">
      <w:pPr>
        <w:spacing w:line="51" w:lineRule="exact"/>
        <w:rPr>
          <w:rFonts w:ascii="Times New Roman" w:eastAsia="Times New Roman" w:hAnsi="Times New Roman"/>
        </w:rPr>
      </w:pPr>
    </w:p>
    <w:p w:rsidR="00615718" w:rsidRDefault="00615718" w:rsidP="00615718">
      <w:pPr>
        <w:spacing w:line="288" w:lineRule="auto"/>
        <w:ind w:left="6" w:firstLine="28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Zâhirî mezhebi, her yerde geniş halk kitleleri tarafından kabul görmeyi ba-şaramamış olsa da, bu mezhebin kıyâsa yönelik eleştirileri, İslam dünyasının bir ucundan diğer ucuna kadar her yerde duyulmuş ve bu eleştirilere cevap verilmeye çalışılmıştır.</w:t>
      </w:r>
      <w:r>
        <w:rPr>
          <w:rFonts w:ascii="Times New Roman" w:eastAsia="Times New Roman" w:hAnsi="Times New Roman"/>
          <w:sz w:val="12"/>
        </w:rPr>
        <w:t>135</w:t>
      </w:r>
      <w:r>
        <w:rPr>
          <w:rFonts w:ascii="Times New Roman" w:eastAsia="Times New Roman" w:hAnsi="Times New Roman"/>
          <w:sz w:val="22"/>
        </w:rPr>
        <w:t xml:space="preserve"> Hanbelîlerden Ebû Bekr el-Hallâl ve Hanefîlerden Ebu’l-Hasen el-Kerhî ve Mısır’da Ebû Ca’fer et-Tahâvî’nin Zâhirîlerle karşı-lıklı münazaralarda bulundukları belirtilmektedir.</w:t>
      </w:r>
      <w:r>
        <w:rPr>
          <w:rFonts w:ascii="Times New Roman" w:eastAsia="Times New Roman" w:hAnsi="Times New Roman"/>
          <w:sz w:val="12"/>
        </w:rPr>
        <w:t>136</w:t>
      </w:r>
      <w:r>
        <w:rPr>
          <w:rFonts w:ascii="Times New Roman" w:eastAsia="Times New Roman" w:hAnsi="Times New Roman"/>
          <w:sz w:val="22"/>
        </w:rPr>
        <w:t xml:space="preserve"> Bu da Zâhirîlerin büyük alimler tarafından muhatap alınacak kadar önemsendiğini ya da bu alimlerin, halkın yanlış bilgilendirildiği düşüncesi ile bir hassasiyet neticesinde bu eser-leri yazdığını göstermektedir.</w:t>
      </w:r>
    </w:p>
    <w:p w:rsidR="00D93C16" w:rsidRPr="00615718" w:rsidRDefault="00615718" w:rsidP="00615718"/>
    <w:sectPr w:rsidR="00D93C16" w:rsidRPr="00615718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4E6AFB66"/>
    <w:lvl w:ilvl="0" w:tplc="FFFFFFFF">
      <w:start w:val="36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A"/>
    <w:multiLevelType w:val="hybridMultilevel"/>
    <w:tmpl w:val="25E45D32"/>
    <w:lvl w:ilvl="0" w:tplc="FFFFFFFF">
      <w:start w:val="4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519B500C"/>
    <w:lvl w:ilvl="0" w:tplc="FFFFFFFF">
      <w:start w:val="4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431BD7B6"/>
    <w:lvl w:ilvl="0" w:tplc="FFFFFFFF">
      <w:start w:val="5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5"/>
    <w:multiLevelType w:val="hybridMultilevel"/>
    <w:tmpl w:val="333AB104"/>
    <w:lvl w:ilvl="0" w:tplc="FFFFFFFF">
      <w:start w:val="11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54EA"/>
    <w:rsid w:val="00354863"/>
    <w:rsid w:val="00402397"/>
    <w:rsid w:val="00534153"/>
    <w:rsid w:val="00615718"/>
    <w:rsid w:val="00680C6B"/>
    <w:rsid w:val="009127D6"/>
    <w:rsid w:val="00974306"/>
    <w:rsid w:val="00AE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E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3</cp:revision>
  <dcterms:created xsi:type="dcterms:W3CDTF">2020-07-17T16:24:00Z</dcterms:created>
  <dcterms:modified xsi:type="dcterms:W3CDTF">2020-07-17T22:36:00Z</dcterms:modified>
</cp:coreProperties>
</file>