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717" w:rsidRDefault="00997717" w:rsidP="00997717">
      <w:pPr>
        <w:spacing w:line="342" w:lineRule="auto"/>
        <w:ind w:firstLine="284"/>
        <w:rPr>
          <w:rFonts w:ascii="Times New Roman" w:eastAsia="Times New Roman" w:hAnsi="Times New Roman"/>
          <w:sz w:val="21"/>
        </w:rPr>
      </w:pPr>
      <w:r>
        <w:rPr>
          <w:rFonts w:ascii="Times New Roman" w:eastAsia="Times New Roman" w:hAnsi="Times New Roman"/>
          <w:sz w:val="21"/>
        </w:rPr>
        <w:t>İctihâdın iki aşamasından ya da türünden bahsetmek mümkündür. Bunların ilki, nassı anlama çabası; ikincisi ise vakıayı anlama çabasıdır. Nassın anlaşıl-</w:t>
      </w:r>
    </w:p>
    <w:p w:rsidR="00997717" w:rsidRDefault="00997717" w:rsidP="00997717">
      <w:pPr>
        <w:spacing w:line="342" w:lineRule="auto"/>
        <w:ind w:firstLine="284"/>
        <w:rPr>
          <w:rFonts w:ascii="Times New Roman" w:eastAsia="Times New Roman" w:hAnsi="Times New Roman"/>
          <w:sz w:val="21"/>
        </w:rPr>
        <w:sectPr w:rsidR="00997717" w:rsidSect="00997717">
          <w:pgSz w:w="9240" w:h="13663"/>
          <w:pgMar w:top="1252" w:right="1301" w:bottom="783" w:left="1140" w:header="0" w:footer="0" w:gutter="0"/>
          <w:cols w:space="0" w:equalWidth="0">
            <w:col w:w="6800"/>
          </w:cols>
          <w:docGrid w:linePitch="360"/>
        </w:sectPr>
      </w:pPr>
    </w:p>
    <w:p w:rsidR="00997717" w:rsidRDefault="00997717" w:rsidP="00997717">
      <w:pPr>
        <w:tabs>
          <w:tab w:val="left" w:pos="5840"/>
        </w:tabs>
        <w:spacing w:line="0" w:lineRule="atLeast"/>
        <w:rPr>
          <w:rFonts w:ascii="Times New Roman" w:eastAsia="Times New Roman" w:hAnsi="Times New Roman"/>
          <w:i/>
          <w:sz w:val="13"/>
        </w:rPr>
      </w:pPr>
      <w:bookmarkStart w:id="0" w:name="page2"/>
      <w:bookmarkEnd w:id="0"/>
      <w:r>
        <w:rPr>
          <w:rFonts w:ascii="Times New Roman" w:eastAsia="Times New Roman" w:hAnsi="Times New Roman"/>
          <w:sz w:val="17"/>
        </w:rPr>
        <w:lastRenderedPageBreak/>
        <w:t>168</w:t>
      </w:r>
      <w:r>
        <w:rPr>
          <w:rFonts w:ascii="Times New Roman" w:eastAsia="Times New Roman" w:hAnsi="Times New Roman"/>
        </w:rPr>
        <w:tab/>
      </w:r>
      <w:r>
        <w:rPr>
          <w:rFonts w:ascii="Times New Roman" w:eastAsia="Times New Roman" w:hAnsi="Times New Roman"/>
          <w:i/>
          <w:sz w:val="13"/>
        </w:rPr>
        <w:t>OĞUZHAN TAN</w:t>
      </w:r>
    </w:p>
    <w:p w:rsidR="00997717" w:rsidRDefault="00997717" w:rsidP="00997717">
      <w:pPr>
        <w:spacing w:line="200" w:lineRule="exact"/>
        <w:rPr>
          <w:rFonts w:ascii="Times New Roman" w:eastAsia="Times New Roman" w:hAnsi="Times New Roman"/>
        </w:rPr>
      </w:pPr>
    </w:p>
    <w:p w:rsidR="00997717" w:rsidRDefault="00997717" w:rsidP="00997717">
      <w:pPr>
        <w:spacing w:line="200" w:lineRule="exact"/>
        <w:rPr>
          <w:rFonts w:ascii="Times New Roman" w:eastAsia="Times New Roman" w:hAnsi="Times New Roman"/>
        </w:rPr>
      </w:pPr>
    </w:p>
    <w:p w:rsidR="00997717" w:rsidRDefault="00997717" w:rsidP="00997717">
      <w:pPr>
        <w:spacing w:line="254" w:lineRule="exact"/>
        <w:rPr>
          <w:rFonts w:ascii="Times New Roman" w:eastAsia="Times New Roman" w:hAnsi="Times New Roman"/>
        </w:rPr>
      </w:pPr>
    </w:p>
    <w:p w:rsidR="00997717" w:rsidRDefault="00997717" w:rsidP="00997717">
      <w:pPr>
        <w:spacing w:line="284" w:lineRule="auto"/>
        <w:jc w:val="both"/>
        <w:rPr>
          <w:rFonts w:ascii="Times New Roman" w:eastAsia="Times New Roman" w:hAnsi="Times New Roman"/>
          <w:sz w:val="22"/>
        </w:rPr>
      </w:pPr>
      <w:r>
        <w:rPr>
          <w:rFonts w:ascii="Times New Roman" w:eastAsia="Times New Roman" w:hAnsi="Times New Roman"/>
          <w:sz w:val="22"/>
        </w:rPr>
        <w:t xml:space="preserve">ması, lafızların dilsel özellikleri yanında, tarihî şartların da dikkate alınması ve konulan hükümlerin gerekçelerinin (menât/illet) doğru tespit edilmesi ile mümkündür. Nass üzerinde yapılan ictihadın semeresi, hükümdür. Elde edilen hükmün farklı zamanlarda ve </w:t>
      </w:r>
      <w:proofErr w:type="gramStart"/>
      <w:r>
        <w:rPr>
          <w:rFonts w:ascii="Times New Roman" w:eastAsia="Times New Roman" w:hAnsi="Times New Roman"/>
          <w:sz w:val="22"/>
        </w:rPr>
        <w:t>mekanlarda</w:t>
      </w:r>
      <w:proofErr w:type="gramEnd"/>
      <w:r>
        <w:rPr>
          <w:rFonts w:ascii="Times New Roman" w:eastAsia="Times New Roman" w:hAnsi="Times New Roman"/>
          <w:sz w:val="22"/>
        </w:rPr>
        <w:t xml:space="preserve"> câri kılınması ise hükme mahal olan meselelerin anlaşılmasıyla mümkündür.</w:t>
      </w:r>
    </w:p>
    <w:p w:rsidR="00997717" w:rsidRDefault="00997717" w:rsidP="00997717">
      <w:pPr>
        <w:spacing w:line="3" w:lineRule="exact"/>
        <w:rPr>
          <w:rFonts w:ascii="Times New Roman" w:eastAsia="Times New Roman" w:hAnsi="Times New Roman"/>
        </w:rPr>
      </w:pPr>
    </w:p>
    <w:p w:rsidR="00997717" w:rsidRDefault="00997717" w:rsidP="00997717">
      <w:pPr>
        <w:spacing w:line="284" w:lineRule="auto"/>
        <w:ind w:firstLine="283"/>
        <w:jc w:val="both"/>
        <w:rPr>
          <w:rFonts w:ascii="Times New Roman" w:eastAsia="Times New Roman" w:hAnsi="Times New Roman"/>
          <w:sz w:val="22"/>
        </w:rPr>
      </w:pPr>
      <w:r>
        <w:rPr>
          <w:rFonts w:ascii="Times New Roman" w:eastAsia="Times New Roman" w:hAnsi="Times New Roman"/>
          <w:sz w:val="22"/>
        </w:rPr>
        <w:t>İctihadın bu iki aşaması, bir taraftan nassın, diğer taraftan vakıanın iyi okunmasını ve anlaşılmasını gerektirmektedir. Nassın ya da vakıanın doğru bir şekilde anlaşılmaması, kaçınılmaz olarak, ortaya konan hükümlerin ya nassa ya da realiteye aykırı olması sonucunu doğuracaktır.</w:t>
      </w:r>
    </w:p>
    <w:p w:rsidR="00997717" w:rsidRDefault="00997717" w:rsidP="00997717">
      <w:pPr>
        <w:spacing w:line="3" w:lineRule="exact"/>
        <w:rPr>
          <w:rFonts w:ascii="Times New Roman" w:eastAsia="Times New Roman" w:hAnsi="Times New Roman"/>
        </w:rPr>
      </w:pPr>
    </w:p>
    <w:p w:rsidR="00997717" w:rsidRDefault="00997717" w:rsidP="00997717">
      <w:pPr>
        <w:spacing w:line="298" w:lineRule="auto"/>
        <w:ind w:firstLine="283"/>
        <w:jc w:val="both"/>
        <w:rPr>
          <w:rFonts w:ascii="Times New Roman" w:eastAsia="Times New Roman" w:hAnsi="Times New Roman"/>
          <w:sz w:val="21"/>
        </w:rPr>
      </w:pPr>
      <w:r>
        <w:rPr>
          <w:rFonts w:ascii="Times New Roman" w:eastAsia="Times New Roman" w:hAnsi="Times New Roman"/>
          <w:sz w:val="21"/>
        </w:rPr>
        <w:t xml:space="preserve">Asırlar boyu Müslüman </w:t>
      </w:r>
      <w:proofErr w:type="gramStart"/>
      <w:r>
        <w:rPr>
          <w:rFonts w:ascii="Times New Roman" w:eastAsia="Times New Roman" w:hAnsi="Times New Roman"/>
          <w:sz w:val="21"/>
        </w:rPr>
        <w:t>alimler</w:t>
      </w:r>
      <w:proofErr w:type="gramEnd"/>
      <w:r>
        <w:rPr>
          <w:rFonts w:ascii="Times New Roman" w:eastAsia="Times New Roman" w:hAnsi="Times New Roman"/>
          <w:sz w:val="21"/>
        </w:rPr>
        <w:t xml:space="preserve">, iktisadî meseleler karşısında benzer bir zihni faaliyet sergilemişlerdir. Öncelikle nasslardan hareketle ribânın kav-ramsal içeriğini belirleyerek ilgili hükümleri tespit etmişler, daha sonra bu hükümleri çeşitli iktisadi muameleler için geçerli kılmaya çalışmışlardır. Ya-şadığımız asırda ekonomik faaliyetlerin giderek karmaşıklaştığı </w:t>
      </w:r>
      <w:proofErr w:type="gramStart"/>
      <w:r>
        <w:rPr>
          <w:rFonts w:ascii="Times New Roman" w:eastAsia="Times New Roman" w:hAnsi="Times New Roman"/>
          <w:sz w:val="21"/>
        </w:rPr>
        <w:t>aşikardır</w:t>
      </w:r>
      <w:proofErr w:type="gramEnd"/>
      <w:r>
        <w:rPr>
          <w:rFonts w:ascii="Times New Roman" w:eastAsia="Times New Roman" w:hAnsi="Times New Roman"/>
          <w:sz w:val="21"/>
        </w:rPr>
        <w:t>. Bu nedenle ilahiyatçılar, ictihadın ikinci aşaması olan “realiteyi/vakıayı okuma” noktasında eskiye göre daha fazla zorluk çekmektedirler. Çünkü hakkında hü-küm verilecek konuların mahiyetinin tam olarak anlaşılması onlar için eskiye göre daha zor olabilmektedir. İktisadi konularda verilen hükümlerden bazıla-rının ekonomik realiteye aykırı olması da bu durumun bir göstergesidir. Fa-kat, güncel iktisadi konulara ilişkin olarak verilen hükümlerin zaman zaman isabetsiz olması, sadece ekonomik realitenin tam olarak anlaşılamamasından kaynaklanmamaktadır. Aksine, nassın çerçevesinin doğru anlaşılamaması da verilen hükümlerin isabetsiz oluşunda etkilidir.</w:t>
      </w:r>
    </w:p>
    <w:p w:rsidR="00997717" w:rsidRDefault="00997717" w:rsidP="00997717">
      <w:pPr>
        <w:spacing w:line="2" w:lineRule="exact"/>
        <w:rPr>
          <w:rFonts w:ascii="Times New Roman" w:eastAsia="Times New Roman" w:hAnsi="Times New Roman"/>
        </w:rPr>
      </w:pPr>
    </w:p>
    <w:p w:rsidR="00997717" w:rsidRDefault="00997717" w:rsidP="00997717">
      <w:pPr>
        <w:spacing w:line="309" w:lineRule="auto"/>
        <w:ind w:firstLine="284"/>
        <w:jc w:val="both"/>
        <w:rPr>
          <w:rFonts w:ascii="Times New Roman" w:eastAsia="Times New Roman" w:hAnsi="Times New Roman"/>
          <w:sz w:val="21"/>
        </w:rPr>
      </w:pPr>
      <w:r>
        <w:rPr>
          <w:rFonts w:ascii="Times New Roman" w:eastAsia="Times New Roman" w:hAnsi="Times New Roman"/>
          <w:sz w:val="21"/>
        </w:rPr>
        <w:t xml:space="preserve">Bu noktada bu çalışmanın ortaya attığı temel sorular şunlardır: Acaba faz-lalık ribâsı ile ilgili nasslar doğru anlaşılabilmiş midir? Acaba bu nassların anlaşılmasında </w:t>
      </w:r>
      <w:proofErr w:type="gramStart"/>
      <w:r>
        <w:rPr>
          <w:rFonts w:ascii="Times New Roman" w:eastAsia="Times New Roman" w:hAnsi="Times New Roman"/>
          <w:sz w:val="21"/>
        </w:rPr>
        <w:t>lafzî</w:t>
      </w:r>
      <w:proofErr w:type="gramEnd"/>
      <w:r>
        <w:rPr>
          <w:rFonts w:ascii="Times New Roman" w:eastAsia="Times New Roman" w:hAnsi="Times New Roman"/>
          <w:sz w:val="21"/>
        </w:rPr>
        <w:t xml:space="preserve"> hususlar dışında kalan, tarihsel ve ekonomik şartlar yete-rince dikkate alınmış mıdır? Fazlalık ribâsı ile ilgili olarak ortaya konan hü-kümler, hem ilahî iradeye hem de ekonomik gerçekliğe ne kadar uygundur?</w:t>
      </w:r>
    </w:p>
    <w:p w:rsidR="00997717" w:rsidRDefault="00997717" w:rsidP="00997717">
      <w:pPr>
        <w:spacing w:line="225" w:lineRule="exact"/>
        <w:rPr>
          <w:rFonts w:ascii="Times New Roman" w:eastAsia="Times New Roman" w:hAnsi="Times New Roman"/>
        </w:rPr>
      </w:pPr>
    </w:p>
    <w:p w:rsidR="00997717" w:rsidRDefault="00997717" w:rsidP="00997717">
      <w:pPr>
        <w:spacing w:line="0" w:lineRule="atLeast"/>
        <w:ind w:left="280"/>
        <w:rPr>
          <w:rFonts w:ascii="Times New Roman" w:eastAsia="Times New Roman" w:hAnsi="Times New Roman"/>
          <w:b/>
          <w:sz w:val="22"/>
        </w:rPr>
      </w:pPr>
      <w:r>
        <w:rPr>
          <w:rFonts w:ascii="Times New Roman" w:eastAsia="Times New Roman" w:hAnsi="Times New Roman"/>
          <w:b/>
          <w:sz w:val="22"/>
        </w:rPr>
        <w:t>II. Nasslarda Fazlalık Ribâsı</w:t>
      </w:r>
    </w:p>
    <w:p w:rsidR="00997717" w:rsidRDefault="00997717" w:rsidP="00997717">
      <w:pPr>
        <w:spacing w:line="51" w:lineRule="exact"/>
        <w:rPr>
          <w:rFonts w:ascii="Times New Roman" w:eastAsia="Times New Roman" w:hAnsi="Times New Roman"/>
        </w:rPr>
      </w:pPr>
    </w:p>
    <w:p w:rsidR="00997717" w:rsidRDefault="00997717" w:rsidP="00997717">
      <w:pPr>
        <w:spacing w:line="316" w:lineRule="auto"/>
        <w:ind w:firstLine="283"/>
        <w:jc w:val="both"/>
        <w:rPr>
          <w:rFonts w:ascii="Times New Roman" w:eastAsia="Times New Roman" w:hAnsi="Times New Roman"/>
          <w:sz w:val="22"/>
        </w:rPr>
      </w:pPr>
      <w:r>
        <w:rPr>
          <w:rFonts w:ascii="Times New Roman" w:eastAsia="Times New Roman" w:hAnsi="Times New Roman"/>
          <w:sz w:val="22"/>
        </w:rPr>
        <w:t>Sözlük anlamı “fazlalık” olan</w:t>
      </w:r>
      <w:r>
        <w:rPr>
          <w:rFonts w:ascii="Times New Roman" w:eastAsia="Times New Roman" w:hAnsi="Times New Roman"/>
          <w:sz w:val="12"/>
        </w:rPr>
        <w:t>1</w:t>
      </w:r>
      <w:r>
        <w:rPr>
          <w:rFonts w:ascii="Times New Roman" w:eastAsia="Times New Roman" w:hAnsi="Times New Roman"/>
          <w:sz w:val="22"/>
        </w:rPr>
        <w:t xml:space="preserve"> ribâ, Kur’ânın nüzulünden önce de bilinen iktisadi bir kavramdı. İlgili ayetlerde ribâ’nın Allah tarafından silineceği, ze-</w:t>
      </w:r>
    </w:p>
    <w:p w:rsidR="00997717" w:rsidRDefault="00997717" w:rsidP="00997717">
      <w:pPr>
        <w:spacing w:line="20" w:lineRule="exact"/>
        <w:rPr>
          <w:rFonts w:ascii="Times New Roman" w:eastAsia="Times New Roman" w:hAnsi="Times New Roman"/>
        </w:rPr>
      </w:pPr>
      <w:r>
        <w:rPr>
          <w:rFonts w:ascii="Times New Roman" w:eastAsia="Times New Roman" w:hAnsi="Times New Roman"/>
          <w:sz w:val="22"/>
        </w:rPr>
        <w:pict>
          <v:line id="_x0000_s1026" style="position:absolute;z-index:-251656192" from=".15pt,11.9pt" to="141.9pt,11.9pt" o:userdrawn="t" strokeweight=".25pt"/>
        </w:pict>
      </w:r>
    </w:p>
    <w:p w:rsidR="00997717" w:rsidRDefault="00997717" w:rsidP="00997717">
      <w:pPr>
        <w:spacing w:line="20" w:lineRule="exact"/>
        <w:rPr>
          <w:rFonts w:ascii="Times New Roman" w:eastAsia="Times New Roman" w:hAnsi="Times New Roman"/>
        </w:rPr>
        <w:sectPr w:rsidR="00997717">
          <w:pgSz w:w="9240" w:h="13663"/>
          <w:pgMar w:top="1237" w:right="1141" w:bottom="893" w:left="1300" w:header="0" w:footer="0" w:gutter="0"/>
          <w:cols w:space="0" w:equalWidth="0">
            <w:col w:w="6800"/>
          </w:cols>
          <w:docGrid w:linePitch="360"/>
        </w:sectPr>
      </w:pPr>
    </w:p>
    <w:p w:rsidR="00997717" w:rsidRDefault="00997717" w:rsidP="00997717">
      <w:pPr>
        <w:spacing w:line="268" w:lineRule="exact"/>
        <w:rPr>
          <w:rFonts w:ascii="Times New Roman" w:eastAsia="Times New Roman" w:hAnsi="Times New Roman"/>
        </w:rPr>
      </w:pPr>
    </w:p>
    <w:p w:rsidR="00997717" w:rsidRDefault="00997717" w:rsidP="00997717">
      <w:pPr>
        <w:numPr>
          <w:ilvl w:val="0"/>
          <w:numId w:val="3"/>
        </w:numPr>
        <w:tabs>
          <w:tab w:val="left" w:pos="240"/>
        </w:tabs>
        <w:spacing w:line="262" w:lineRule="auto"/>
        <w:ind w:left="240" w:hanging="236"/>
        <w:rPr>
          <w:rFonts w:ascii="Times New Roman" w:eastAsia="Times New Roman" w:hAnsi="Times New Roman"/>
          <w:sz w:val="16"/>
        </w:rPr>
      </w:pPr>
      <w:r>
        <w:rPr>
          <w:rFonts w:ascii="Times New Roman" w:eastAsia="Times New Roman" w:hAnsi="Times New Roman"/>
          <w:sz w:val="16"/>
        </w:rPr>
        <w:t xml:space="preserve">Muhammed b. Mükram İbn Manzûr, </w:t>
      </w:r>
      <w:r>
        <w:rPr>
          <w:rFonts w:ascii="Times New Roman" w:eastAsia="Times New Roman" w:hAnsi="Times New Roman"/>
          <w:i/>
          <w:sz w:val="16"/>
        </w:rPr>
        <w:t>Lisânü’l-Arab</w:t>
      </w:r>
      <w:r>
        <w:rPr>
          <w:rFonts w:ascii="Times New Roman" w:eastAsia="Times New Roman" w:hAnsi="Times New Roman"/>
          <w:sz w:val="16"/>
        </w:rPr>
        <w:t>, Dâru Sâdir, Beyrût (b.y.), r-b-v mad</w:t>
      </w:r>
      <w:proofErr w:type="gramStart"/>
      <w:r>
        <w:rPr>
          <w:rFonts w:ascii="Times New Roman" w:eastAsia="Times New Roman" w:hAnsi="Times New Roman"/>
          <w:sz w:val="16"/>
        </w:rPr>
        <w:t>.,</w:t>
      </w:r>
      <w:proofErr w:type="gramEnd"/>
      <w:r>
        <w:rPr>
          <w:rFonts w:ascii="Times New Roman" w:eastAsia="Times New Roman" w:hAnsi="Times New Roman"/>
          <w:sz w:val="16"/>
        </w:rPr>
        <w:t xml:space="preserve"> XIV/304.</w:t>
      </w:r>
    </w:p>
    <w:p w:rsidR="00997717" w:rsidRDefault="00997717" w:rsidP="00997717">
      <w:pPr>
        <w:tabs>
          <w:tab w:val="left" w:pos="240"/>
        </w:tabs>
        <w:spacing w:line="262" w:lineRule="auto"/>
        <w:ind w:left="240" w:hanging="236"/>
        <w:rPr>
          <w:rFonts w:ascii="Times New Roman" w:eastAsia="Times New Roman" w:hAnsi="Times New Roman"/>
          <w:sz w:val="16"/>
        </w:rPr>
        <w:sectPr w:rsidR="00997717">
          <w:type w:val="continuous"/>
          <w:pgSz w:w="9240" w:h="13663"/>
          <w:pgMar w:top="1237" w:right="1141" w:bottom="893" w:left="1300" w:header="0" w:footer="0" w:gutter="0"/>
          <w:cols w:space="0" w:equalWidth="0">
            <w:col w:w="6800"/>
          </w:cols>
          <w:docGrid w:linePitch="360"/>
        </w:sectPr>
      </w:pPr>
    </w:p>
    <w:tbl>
      <w:tblPr>
        <w:tblW w:w="0" w:type="auto"/>
        <w:tblInd w:w="6" w:type="dxa"/>
        <w:tblLayout w:type="fixed"/>
        <w:tblCellMar>
          <w:left w:w="0" w:type="dxa"/>
          <w:right w:w="0" w:type="dxa"/>
        </w:tblCellMar>
        <w:tblLook w:val="0000"/>
      </w:tblPr>
      <w:tblGrid>
        <w:gridCol w:w="5720"/>
        <w:gridCol w:w="1080"/>
      </w:tblGrid>
      <w:tr w:rsidR="00997717" w:rsidTr="000C5968">
        <w:trPr>
          <w:trHeight w:val="234"/>
        </w:trPr>
        <w:tc>
          <w:tcPr>
            <w:tcW w:w="5720" w:type="dxa"/>
            <w:shd w:val="clear" w:color="auto" w:fill="auto"/>
            <w:vAlign w:val="bottom"/>
          </w:tcPr>
          <w:p w:rsidR="00997717" w:rsidRDefault="00997717" w:rsidP="000C5968">
            <w:pPr>
              <w:spacing w:line="0" w:lineRule="atLeast"/>
              <w:rPr>
                <w:rFonts w:ascii="Times New Roman" w:eastAsia="Times New Roman" w:hAnsi="Times New Roman"/>
                <w:i/>
                <w:sz w:val="14"/>
              </w:rPr>
            </w:pPr>
            <w:bookmarkStart w:id="1" w:name="page3"/>
            <w:bookmarkEnd w:id="1"/>
            <w:r>
              <w:rPr>
                <w:rFonts w:ascii="Times New Roman" w:eastAsia="Times New Roman" w:hAnsi="Times New Roman"/>
                <w:i/>
                <w:sz w:val="14"/>
              </w:rPr>
              <w:lastRenderedPageBreak/>
              <w:t>Ekonomik Realite Temelinde Altı Sınıf (Esnâf-ı Sitte) Hadisi Üzerine Bir Değerlendirme</w:t>
            </w:r>
          </w:p>
        </w:tc>
        <w:tc>
          <w:tcPr>
            <w:tcW w:w="1080" w:type="dxa"/>
            <w:shd w:val="clear" w:color="auto" w:fill="auto"/>
            <w:vAlign w:val="bottom"/>
          </w:tcPr>
          <w:p w:rsidR="00997717" w:rsidRDefault="00997717" w:rsidP="000C5968">
            <w:pPr>
              <w:spacing w:line="0" w:lineRule="atLeast"/>
              <w:jc w:val="right"/>
              <w:rPr>
                <w:rFonts w:ascii="Times New Roman" w:eastAsia="Times New Roman" w:hAnsi="Times New Roman"/>
                <w:sz w:val="18"/>
              </w:rPr>
            </w:pPr>
            <w:r>
              <w:rPr>
                <w:rFonts w:ascii="Times New Roman" w:eastAsia="Times New Roman" w:hAnsi="Times New Roman"/>
                <w:sz w:val="18"/>
              </w:rPr>
              <w:t>169</w:t>
            </w:r>
          </w:p>
        </w:tc>
      </w:tr>
    </w:tbl>
    <w:p w:rsidR="00997717" w:rsidRDefault="00997717" w:rsidP="00997717">
      <w:pPr>
        <w:spacing w:line="200" w:lineRule="exact"/>
        <w:rPr>
          <w:rFonts w:ascii="Times New Roman" w:eastAsia="Times New Roman" w:hAnsi="Times New Roman"/>
        </w:rPr>
      </w:pPr>
    </w:p>
    <w:p w:rsidR="00997717" w:rsidRDefault="00997717" w:rsidP="00997717">
      <w:pPr>
        <w:spacing w:line="200" w:lineRule="exact"/>
        <w:rPr>
          <w:rFonts w:ascii="Times New Roman" w:eastAsia="Times New Roman" w:hAnsi="Times New Roman"/>
        </w:rPr>
      </w:pPr>
    </w:p>
    <w:p w:rsidR="00997717" w:rsidRDefault="00997717" w:rsidP="00997717">
      <w:pPr>
        <w:spacing w:line="204" w:lineRule="exact"/>
        <w:rPr>
          <w:rFonts w:ascii="Times New Roman" w:eastAsia="Times New Roman" w:hAnsi="Times New Roman"/>
        </w:rPr>
      </w:pPr>
    </w:p>
    <w:p w:rsidR="00997717" w:rsidRDefault="00997717" w:rsidP="00997717">
      <w:pPr>
        <w:spacing w:line="284" w:lineRule="auto"/>
        <w:ind w:left="6"/>
        <w:jc w:val="both"/>
        <w:rPr>
          <w:rFonts w:ascii="Times New Roman" w:eastAsia="Times New Roman" w:hAnsi="Times New Roman"/>
          <w:sz w:val="12"/>
        </w:rPr>
      </w:pPr>
      <w:proofErr w:type="gramStart"/>
      <w:r>
        <w:rPr>
          <w:rFonts w:ascii="Times New Roman" w:eastAsia="Times New Roman" w:hAnsi="Times New Roman"/>
          <w:sz w:val="22"/>
        </w:rPr>
        <w:t>katın</w:t>
      </w:r>
      <w:proofErr w:type="gramEnd"/>
      <w:r>
        <w:rPr>
          <w:rFonts w:ascii="Times New Roman" w:eastAsia="Times New Roman" w:hAnsi="Times New Roman"/>
          <w:sz w:val="22"/>
        </w:rPr>
        <w:t xml:space="preserve"> ise bir artış vesilesi kılınacağı,</w:t>
      </w:r>
      <w:r>
        <w:rPr>
          <w:rFonts w:ascii="Times New Roman" w:eastAsia="Times New Roman" w:hAnsi="Times New Roman"/>
          <w:sz w:val="12"/>
        </w:rPr>
        <w:t>2</w:t>
      </w:r>
      <w:r>
        <w:rPr>
          <w:rFonts w:ascii="Times New Roman" w:eastAsia="Times New Roman" w:hAnsi="Times New Roman"/>
          <w:sz w:val="22"/>
        </w:rPr>
        <w:t xml:space="preserve"> ribâ yiyen kimselerin şeytan çarpmış kimseler gibi olacağı,</w:t>
      </w:r>
      <w:r>
        <w:rPr>
          <w:rFonts w:ascii="Times New Roman" w:eastAsia="Times New Roman" w:hAnsi="Times New Roman"/>
          <w:sz w:val="12"/>
        </w:rPr>
        <w:t>3</w:t>
      </w:r>
      <w:r>
        <w:rPr>
          <w:rFonts w:ascii="Times New Roman" w:eastAsia="Times New Roman" w:hAnsi="Times New Roman"/>
          <w:sz w:val="22"/>
        </w:rPr>
        <w:t xml:space="preserve"> Allah ve Rasûlü’nün ribâdan vazgeçmeyenlere savaş ilan ettiği,</w:t>
      </w:r>
      <w:r>
        <w:rPr>
          <w:rFonts w:ascii="Times New Roman" w:eastAsia="Times New Roman" w:hAnsi="Times New Roman"/>
          <w:sz w:val="12"/>
        </w:rPr>
        <w:t>4</w:t>
      </w:r>
      <w:r>
        <w:rPr>
          <w:rFonts w:ascii="Times New Roman" w:eastAsia="Times New Roman" w:hAnsi="Times New Roman"/>
          <w:sz w:val="22"/>
        </w:rPr>
        <w:t xml:space="preserve"> ve bu kimselerin uhrevi cezasının şiddetli olacağı</w:t>
      </w:r>
      <w:r>
        <w:rPr>
          <w:rFonts w:ascii="Times New Roman" w:eastAsia="Times New Roman" w:hAnsi="Times New Roman"/>
          <w:sz w:val="12"/>
        </w:rPr>
        <w:t>5</w:t>
      </w:r>
      <w:r>
        <w:rPr>
          <w:rFonts w:ascii="Times New Roman" w:eastAsia="Times New Roman" w:hAnsi="Times New Roman"/>
          <w:sz w:val="22"/>
        </w:rPr>
        <w:t xml:space="preserve"> gibi dinî tanımlamalara yer verilmiş, ribânın ekonomik tanımı üzerinde pek durulma-mıştır. Bu, ribâ kavramının muhataplar tarafından zaten bilinmekte olduğunu göstermektedir. </w:t>
      </w:r>
      <w:proofErr w:type="gramStart"/>
      <w:r>
        <w:rPr>
          <w:rFonts w:ascii="Times New Roman" w:eastAsia="Times New Roman" w:hAnsi="Times New Roman"/>
          <w:sz w:val="22"/>
        </w:rPr>
        <w:t>Ribâ ile ilgili ayetler indiğinde Arapların bildiği ve uyguladığı ribâ, bir borcun ödenme zamanı geldiğinde alacaklının borçluya “borcunu ya şimdi öde ya da ödeyeceğin miktarı arttırmak şartıyla daha sonra öde” diyerek ödeme süresini uzatma karşılığında aldığı fazlalık şeklindeydi.</w:t>
      </w:r>
      <w:r>
        <w:rPr>
          <w:rFonts w:ascii="Times New Roman" w:eastAsia="Times New Roman" w:hAnsi="Times New Roman"/>
          <w:sz w:val="12"/>
        </w:rPr>
        <w:t>6</w:t>
      </w:r>
      <w:r>
        <w:rPr>
          <w:rFonts w:ascii="Times New Roman" w:eastAsia="Times New Roman" w:hAnsi="Times New Roman"/>
          <w:sz w:val="22"/>
        </w:rPr>
        <w:t xml:space="preserve"> Kur’ân’ın indiği dönemde Araplar ribâ olarak bundan başka bir şey bilmiyorlardı.</w:t>
      </w:r>
      <w:r>
        <w:rPr>
          <w:rFonts w:ascii="Times New Roman" w:eastAsia="Times New Roman" w:hAnsi="Times New Roman"/>
          <w:sz w:val="12"/>
        </w:rPr>
        <w:t>7</w:t>
      </w:r>
      <w:r>
        <w:rPr>
          <w:rFonts w:ascii="Times New Roman" w:eastAsia="Times New Roman" w:hAnsi="Times New Roman"/>
          <w:sz w:val="22"/>
        </w:rPr>
        <w:t xml:space="preserve"> Kur’ân’daki ribâ ayetlerinin, ödeme gününün ertelenmesi (nesîe) karşılığın-da alınan ribâ ile ilgili olmasından dolayı bu tür ribâya “ribâ’l-Kur’ân” da denmiştir.</w:t>
      </w:r>
      <w:r>
        <w:rPr>
          <w:rFonts w:ascii="Times New Roman" w:eastAsia="Times New Roman" w:hAnsi="Times New Roman"/>
          <w:sz w:val="12"/>
        </w:rPr>
        <w:t>8</w:t>
      </w:r>
      <w:r>
        <w:rPr>
          <w:rFonts w:ascii="Times New Roman" w:eastAsia="Times New Roman" w:hAnsi="Times New Roman"/>
          <w:sz w:val="22"/>
        </w:rPr>
        <w:t xml:space="preserve"> Hz. Peygamber’in veda haccında “Câhiliye ribâsından her ne var ise kaldırılmıştır. </w:t>
      </w:r>
      <w:proofErr w:type="gramEnd"/>
      <w:r>
        <w:rPr>
          <w:rFonts w:ascii="Times New Roman" w:eastAsia="Times New Roman" w:hAnsi="Times New Roman"/>
          <w:sz w:val="22"/>
        </w:rPr>
        <w:t>Sadece (borç olarak verdiğiniz) ana malınız size aittir. Hak-sızlık etmeyecek ve haksızlığa uğramayacaksınız”</w:t>
      </w:r>
      <w:r>
        <w:rPr>
          <w:rFonts w:ascii="Times New Roman" w:eastAsia="Times New Roman" w:hAnsi="Times New Roman"/>
          <w:sz w:val="12"/>
        </w:rPr>
        <w:t>9</w:t>
      </w:r>
      <w:r>
        <w:rPr>
          <w:rFonts w:ascii="Times New Roman" w:eastAsia="Times New Roman" w:hAnsi="Times New Roman"/>
          <w:sz w:val="22"/>
        </w:rPr>
        <w:t xml:space="preserve"> derken “cahiliye ribâsı” ile kastettiği de budur.</w:t>
      </w:r>
      <w:r>
        <w:rPr>
          <w:rFonts w:ascii="Times New Roman" w:eastAsia="Times New Roman" w:hAnsi="Times New Roman"/>
          <w:sz w:val="12"/>
        </w:rPr>
        <w:t>10</w:t>
      </w:r>
    </w:p>
    <w:p w:rsidR="00997717" w:rsidRDefault="00997717" w:rsidP="00997717">
      <w:pPr>
        <w:spacing w:line="10" w:lineRule="exact"/>
        <w:rPr>
          <w:rFonts w:ascii="Times New Roman" w:eastAsia="Times New Roman" w:hAnsi="Times New Roman"/>
        </w:rPr>
      </w:pPr>
    </w:p>
    <w:p w:rsidR="00997717" w:rsidRDefault="00997717" w:rsidP="00997717">
      <w:pPr>
        <w:spacing w:line="284" w:lineRule="auto"/>
        <w:ind w:left="6" w:firstLine="284"/>
        <w:jc w:val="both"/>
        <w:rPr>
          <w:rFonts w:ascii="Times New Roman" w:eastAsia="Times New Roman" w:hAnsi="Times New Roman"/>
          <w:sz w:val="12"/>
        </w:rPr>
      </w:pPr>
      <w:r>
        <w:rPr>
          <w:rFonts w:ascii="Times New Roman" w:eastAsia="Times New Roman" w:hAnsi="Times New Roman"/>
          <w:sz w:val="22"/>
        </w:rPr>
        <w:t xml:space="preserve">Bir tür kredi faizi olan bu ribâ, günümüzde de neredeyse herkes tarafından bilinmektedir. Bunun yanında daha önce bilinmeyen ve Hz. Peygamber tara-fından açıklanan bir ribâ çeşidi daha ortaya konmuştur ki buna fazlalık ribâsı (ribâ’l-fadl) denilmektedir. </w:t>
      </w:r>
      <w:r>
        <w:rPr>
          <w:rFonts w:ascii="Times New Roman" w:eastAsia="Times New Roman" w:hAnsi="Times New Roman"/>
          <w:sz w:val="12"/>
        </w:rPr>
        <w:t>11</w:t>
      </w:r>
    </w:p>
    <w:p w:rsidR="00997717" w:rsidRDefault="00997717" w:rsidP="00997717">
      <w:pPr>
        <w:spacing w:line="3" w:lineRule="exact"/>
        <w:rPr>
          <w:rFonts w:ascii="Times New Roman" w:eastAsia="Times New Roman" w:hAnsi="Times New Roman"/>
        </w:rPr>
      </w:pPr>
    </w:p>
    <w:p w:rsidR="00997717" w:rsidRDefault="00997717" w:rsidP="00997717">
      <w:pPr>
        <w:spacing w:line="315" w:lineRule="auto"/>
        <w:ind w:left="6" w:firstLine="284"/>
        <w:jc w:val="both"/>
        <w:rPr>
          <w:rFonts w:ascii="Times New Roman" w:eastAsia="Times New Roman" w:hAnsi="Times New Roman"/>
          <w:sz w:val="22"/>
        </w:rPr>
      </w:pPr>
      <w:r>
        <w:rPr>
          <w:rFonts w:ascii="Times New Roman" w:eastAsia="Times New Roman" w:hAnsi="Times New Roman"/>
          <w:sz w:val="22"/>
        </w:rPr>
        <w:t>Fazlalık ribâsının açıklandığı en meşhur iki rivayet Ubade b. es-Sâmıt ve Ebû Sâid el-Hudrî’ye aittir.</w:t>
      </w:r>
      <w:r>
        <w:rPr>
          <w:rFonts w:ascii="Times New Roman" w:eastAsia="Times New Roman" w:hAnsi="Times New Roman"/>
          <w:sz w:val="12"/>
        </w:rPr>
        <w:t>12</w:t>
      </w:r>
      <w:r>
        <w:rPr>
          <w:rFonts w:ascii="Times New Roman" w:eastAsia="Times New Roman" w:hAnsi="Times New Roman"/>
          <w:sz w:val="22"/>
        </w:rPr>
        <w:t xml:space="preserve"> Ebû Saîd el-Hudrî’den rivayet edilen hadis şu</w:t>
      </w:r>
    </w:p>
    <w:p w:rsidR="00997717" w:rsidRDefault="00997717" w:rsidP="00997717">
      <w:pPr>
        <w:spacing w:line="20" w:lineRule="exact"/>
        <w:rPr>
          <w:rFonts w:ascii="Times New Roman" w:eastAsia="Times New Roman" w:hAnsi="Times New Roman"/>
        </w:rPr>
      </w:pPr>
      <w:r>
        <w:rPr>
          <w:rFonts w:ascii="Times New Roman" w:eastAsia="Times New Roman" w:hAnsi="Times New Roman"/>
          <w:sz w:val="22"/>
        </w:rPr>
        <w:pict>
          <v:line id="_x0000_s1027" style="position:absolute;z-index:-251655168" from="0,7.6pt" to="141.7pt,7.6pt" o:userdrawn="t" strokeweight=".25pt"/>
        </w:pict>
      </w:r>
    </w:p>
    <w:p w:rsidR="00997717" w:rsidRDefault="00997717" w:rsidP="00997717">
      <w:pPr>
        <w:spacing w:line="164" w:lineRule="exact"/>
        <w:rPr>
          <w:rFonts w:ascii="Times New Roman" w:eastAsia="Times New Roman" w:hAnsi="Times New Roman"/>
        </w:rPr>
      </w:pPr>
    </w:p>
    <w:p w:rsidR="00997717" w:rsidRDefault="00997717" w:rsidP="00997717">
      <w:pPr>
        <w:numPr>
          <w:ilvl w:val="0"/>
          <w:numId w:val="4"/>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2. Bakarâ, 276; 30 Rûm, 39.</w:t>
      </w:r>
    </w:p>
    <w:p w:rsidR="00997717" w:rsidRDefault="00997717" w:rsidP="00997717">
      <w:pPr>
        <w:spacing w:line="24" w:lineRule="exact"/>
        <w:rPr>
          <w:rFonts w:ascii="Times New Roman" w:eastAsia="Times New Roman" w:hAnsi="Times New Roman"/>
          <w:sz w:val="16"/>
        </w:rPr>
      </w:pPr>
    </w:p>
    <w:p w:rsidR="00997717" w:rsidRDefault="00997717" w:rsidP="00997717">
      <w:pPr>
        <w:numPr>
          <w:ilvl w:val="0"/>
          <w:numId w:val="4"/>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2. Bakarâ, 275.</w:t>
      </w:r>
    </w:p>
    <w:p w:rsidR="00997717" w:rsidRDefault="00997717" w:rsidP="00997717">
      <w:pPr>
        <w:spacing w:line="8" w:lineRule="exact"/>
        <w:rPr>
          <w:rFonts w:ascii="Times New Roman" w:eastAsia="Times New Roman" w:hAnsi="Times New Roman"/>
          <w:sz w:val="16"/>
        </w:rPr>
      </w:pPr>
    </w:p>
    <w:p w:rsidR="00997717" w:rsidRDefault="00997717" w:rsidP="00997717">
      <w:pPr>
        <w:numPr>
          <w:ilvl w:val="0"/>
          <w:numId w:val="4"/>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2. Bakarâ, 279.</w:t>
      </w:r>
    </w:p>
    <w:p w:rsidR="00997717" w:rsidRDefault="00997717" w:rsidP="00997717">
      <w:pPr>
        <w:spacing w:line="8" w:lineRule="exact"/>
        <w:rPr>
          <w:rFonts w:ascii="Times New Roman" w:eastAsia="Times New Roman" w:hAnsi="Times New Roman"/>
          <w:sz w:val="16"/>
        </w:rPr>
      </w:pPr>
    </w:p>
    <w:p w:rsidR="00997717" w:rsidRDefault="00997717" w:rsidP="00997717">
      <w:pPr>
        <w:numPr>
          <w:ilvl w:val="0"/>
          <w:numId w:val="4"/>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2. Bakarâ, 275.</w:t>
      </w:r>
    </w:p>
    <w:p w:rsidR="00997717" w:rsidRDefault="00997717" w:rsidP="00997717">
      <w:pPr>
        <w:spacing w:line="8" w:lineRule="exact"/>
        <w:rPr>
          <w:rFonts w:ascii="Times New Roman" w:eastAsia="Times New Roman" w:hAnsi="Times New Roman"/>
          <w:sz w:val="16"/>
        </w:rPr>
      </w:pPr>
    </w:p>
    <w:p w:rsidR="00997717" w:rsidRDefault="00997717" w:rsidP="00997717">
      <w:pPr>
        <w:numPr>
          <w:ilvl w:val="0"/>
          <w:numId w:val="4"/>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Ebu’l-Fidâ İsmâîl b. Ömer İbn Kesîr, </w:t>
      </w:r>
      <w:r>
        <w:rPr>
          <w:rFonts w:ascii="Times New Roman" w:eastAsia="Times New Roman" w:hAnsi="Times New Roman"/>
          <w:i/>
          <w:sz w:val="16"/>
        </w:rPr>
        <w:t>Tefsîru’l-Kur’âni’l-Azîm</w:t>
      </w:r>
      <w:r>
        <w:rPr>
          <w:rFonts w:ascii="Times New Roman" w:eastAsia="Times New Roman" w:hAnsi="Times New Roman"/>
          <w:sz w:val="16"/>
        </w:rPr>
        <w:t>, Dâru Taybe, (b.y.) 1999. I/717.</w:t>
      </w:r>
    </w:p>
    <w:p w:rsidR="00997717" w:rsidRDefault="00997717" w:rsidP="00997717">
      <w:pPr>
        <w:spacing w:line="8" w:lineRule="exact"/>
        <w:rPr>
          <w:rFonts w:ascii="Times New Roman" w:eastAsia="Times New Roman" w:hAnsi="Times New Roman"/>
          <w:sz w:val="16"/>
        </w:rPr>
      </w:pPr>
    </w:p>
    <w:p w:rsidR="00997717" w:rsidRDefault="00997717" w:rsidP="00997717">
      <w:pPr>
        <w:numPr>
          <w:ilvl w:val="0"/>
          <w:numId w:val="4"/>
        </w:numPr>
        <w:tabs>
          <w:tab w:val="left" w:pos="226"/>
        </w:tabs>
        <w:spacing w:line="250" w:lineRule="auto"/>
        <w:ind w:left="226" w:hanging="226"/>
        <w:rPr>
          <w:rFonts w:ascii="Times New Roman" w:eastAsia="Times New Roman" w:hAnsi="Times New Roman"/>
          <w:sz w:val="16"/>
        </w:rPr>
      </w:pPr>
      <w:r>
        <w:rPr>
          <w:rFonts w:ascii="Times New Roman" w:eastAsia="Times New Roman" w:hAnsi="Times New Roman"/>
          <w:sz w:val="16"/>
        </w:rPr>
        <w:t xml:space="preserve">Ebû Abdillâh Muhammed b. Ahmed b. Ebî Bekr b. Ferah Şemsuddîn el-Kurtubî, </w:t>
      </w:r>
      <w:r>
        <w:rPr>
          <w:rFonts w:ascii="Times New Roman" w:eastAsia="Times New Roman" w:hAnsi="Times New Roman"/>
          <w:i/>
          <w:sz w:val="16"/>
        </w:rPr>
        <w:t>el-Câmi’ li</w:t>
      </w:r>
      <w:r>
        <w:rPr>
          <w:rFonts w:ascii="Times New Roman" w:eastAsia="Times New Roman" w:hAnsi="Times New Roman"/>
          <w:sz w:val="16"/>
        </w:rPr>
        <w:t xml:space="preserve"> </w:t>
      </w:r>
      <w:r>
        <w:rPr>
          <w:rFonts w:ascii="Times New Roman" w:eastAsia="Times New Roman" w:hAnsi="Times New Roman"/>
          <w:i/>
          <w:sz w:val="16"/>
        </w:rPr>
        <w:t>Ahkâmi’l-Kur’ân</w:t>
      </w:r>
      <w:r>
        <w:rPr>
          <w:rFonts w:ascii="Times New Roman" w:eastAsia="Times New Roman" w:hAnsi="Times New Roman"/>
          <w:sz w:val="16"/>
        </w:rPr>
        <w:t>, Dâru Âlemi’l-Kütüb, Riyâd (t.y.), III/356.</w:t>
      </w:r>
    </w:p>
    <w:p w:rsidR="00997717" w:rsidRDefault="00997717" w:rsidP="00997717">
      <w:pPr>
        <w:numPr>
          <w:ilvl w:val="0"/>
          <w:numId w:val="4"/>
        </w:numPr>
        <w:tabs>
          <w:tab w:val="left" w:pos="226"/>
        </w:tabs>
        <w:spacing w:line="250" w:lineRule="auto"/>
        <w:ind w:left="226" w:hanging="226"/>
        <w:rPr>
          <w:rFonts w:ascii="Times New Roman" w:eastAsia="Times New Roman" w:hAnsi="Times New Roman"/>
          <w:sz w:val="16"/>
        </w:rPr>
      </w:pPr>
      <w:r>
        <w:rPr>
          <w:rFonts w:ascii="Times New Roman" w:eastAsia="Times New Roman" w:hAnsi="Times New Roman"/>
          <w:sz w:val="16"/>
        </w:rPr>
        <w:t xml:space="preserve">Ebû Ca’fer Ahmed b. Muhammed b. Selâme b. Abdilmelik et-Tahâvî, </w:t>
      </w:r>
      <w:r>
        <w:rPr>
          <w:rFonts w:ascii="Times New Roman" w:eastAsia="Times New Roman" w:hAnsi="Times New Roman"/>
          <w:i/>
          <w:sz w:val="16"/>
        </w:rPr>
        <w:t>Şerhu Meâni’l-Âsâr</w:t>
      </w:r>
      <w:r>
        <w:rPr>
          <w:rFonts w:ascii="Times New Roman" w:eastAsia="Times New Roman" w:hAnsi="Times New Roman"/>
          <w:sz w:val="16"/>
        </w:rPr>
        <w:t>, Âlemü’l-Kütüb, Beyrut 1994. IV/65.</w:t>
      </w:r>
    </w:p>
    <w:p w:rsidR="00997717" w:rsidRDefault="00997717" w:rsidP="00997717">
      <w:pPr>
        <w:numPr>
          <w:ilvl w:val="0"/>
          <w:numId w:val="4"/>
        </w:numPr>
        <w:tabs>
          <w:tab w:val="left" w:pos="226"/>
        </w:tabs>
        <w:spacing w:line="267" w:lineRule="auto"/>
        <w:ind w:left="226" w:hanging="226"/>
        <w:jc w:val="both"/>
        <w:rPr>
          <w:rFonts w:ascii="Times New Roman" w:eastAsia="Times New Roman" w:hAnsi="Times New Roman"/>
          <w:sz w:val="15"/>
        </w:rPr>
      </w:pPr>
      <w:r>
        <w:rPr>
          <w:rFonts w:ascii="Times New Roman" w:eastAsia="Times New Roman" w:hAnsi="Times New Roman"/>
          <w:sz w:val="15"/>
        </w:rPr>
        <w:t xml:space="preserve">Ebû Dâvûd Süleyman b. Eş’as es-Sicistânî, </w:t>
      </w:r>
      <w:r>
        <w:rPr>
          <w:rFonts w:ascii="Times New Roman" w:eastAsia="Times New Roman" w:hAnsi="Times New Roman"/>
          <w:i/>
          <w:sz w:val="15"/>
        </w:rPr>
        <w:t>Sünen</w:t>
      </w:r>
      <w:r>
        <w:rPr>
          <w:rFonts w:ascii="Times New Roman" w:eastAsia="Times New Roman" w:hAnsi="Times New Roman"/>
          <w:sz w:val="15"/>
        </w:rPr>
        <w:t xml:space="preserve">, Dâru’l-Kitâb’il-Arabî, Beyrût (t.y.), Buyû’ 5; Muhammed b. Yezîd Ebû Abdillah İbn Mâce el-Kazvinî, </w:t>
      </w:r>
      <w:r>
        <w:rPr>
          <w:rFonts w:ascii="Times New Roman" w:eastAsia="Times New Roman" w:hAnsi="Times New Roman"/>
          <w:i/>
          <w:sz w:val="15"/>
        </w:rPr>
        <w:t>Sünen</w:t>
      </w:r>
      <w:r>
        <w:rPr>
          <w:rFonts w:ascii="Times New Roman" w:eastAsia="Times New Roman" w:hAnsi="Times New Roman"/>
          <w:sz w:val="15"/>
        </w:rPr>
        <w:t>, Dâru’l-Fikr Beyrût (t.y.), Menâsik 76.</w:t>
      </w:r>
    </w:p>
    <w:p w:rsidR="00997717" w:rsidRDefault="00997717" w:rsidP="00997717">
      <w:pPr>
        <w:numPr>
          <w:ilvl w:val="0"/>
          <w:numId w:val="4"/>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Muhammed et-Tâhir b. Âşûr, </w:t>
      </w:r>
      <w:r>
        <w:rPr>
          <w:rFonts w:ascii="Times New Roman" w:eastAsia="Times New Roman" w:hAnsi="Times New Roman"/>
          <w:i/>
          <w:sz w:val="16"/>
        </w:rPr>
        <w:t>et-Tahrîr ve’t-Tenvîr</w:t>
      </w:r>
      <w:r>
        <w:rPr>
          <w:rFonts w:ascii="Times New Roman" w:eastAsia="Times New Roman" w:hAnsi="Times New Roman"/>
          <w:sz w:val="16"/>
        </w:rPr>
        <w:t>, Dâru Sehnûn, Tûnus 1997. III/79.</w:t>
      </w:r>
    </w:p>
    <w:p w:rsidR="00997717" w:rsidRDefault="00997717" w:rsidP="00997717">
      <w:pPr>
        <w:spacing w:line="8" w:lineRule="exact"/>
        <w:rPr>
          <w:rFonts w:ascii="Times New Roman" w:eastAsia="Times New Roman" w:hAnsi="Times New Roman"/>
          <w:sz w:val="16"/>
        </w:rPr>
      </w:pPr>
    </w:p>
    <w:p w:rsidR="00997717" w:rsidRDefault="00997717" w:rsidP="00997717">
      <w:pPr>
        <w:numPr>
          <w:ilvl w:val="0"/>
          <w:numId w:val="4"/>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Tahâvî, Şerhu Meâni’l-Âsâr, IV/65.</w:t>
      </w:r>
    </w:p>
    <w:p w:rsidR="00997717" w:rsidRDefault="00997717" w:rsidP="00997717">
      <w:pPr>
        <w:spacing w:line="8" w:lineRule="exact"/>
        <w:rPr>
          <w:rFonts w:ascii="Times New Roman" w:eastAsia="Times New Roman" w:hAnsi="Times New Roman"/>
          <w:sz w:val="16"/>
        </w:rPr>
      </w:pPr>
    </w:p>
    <w:p w:rsidR="00997717" w:rsidRDefault="00997717" w:rsidP="00997717">
      <w:pPr>
        <w:numPr>
          <w:ilvl w:val="0"/>
          <w:numId w:val="4"/>
        </w:numPr>
        <w:tabs>
          <w:tab w:val="left" w:pos="226"/>
        </w:tabs>
        <w:spacing w:line="253" w:lineRule="auto"/>
        <w:ind w:left="226" w:hanging="226"/>
        <w:jc w:val="both"/>
        <w:rPr>
          <w:rFonts w:ascii="Times New Roman" w:eastAsia="Times New Roman" w:hAnsi="Times New Roman"/>
          <w:sz w:val="16"/>
        </w:rPr>
      </w:pPr>
      <w:r>
        <w:rPr>
          <w:rFonts w:ascii="Times New Roman" w:eastAsia="Times New Roman" w:hAnsi="Times New Roman"/>
          <w:sz w:val="16"/>
        </w:rPr>
        <w:t xml:space="preserve">Bu iki hadisin bazı kısımları, bir kaç sahabi tarafından ayrıca rivayet edilmiştir. Mesela Hz. Ömer’den gelen rivayet, sadece değişimin peşin olması gerekliliğini ihtiva etmekte, aynı cins bedeller arasındaki miktar farklılığının ribâ olacağından bahsetmemektedir. (Ebû Dâvûd, Buyû’ 12.) İbn Nü-ceym, meşhur olduğundan dolayı hadisin bazı </w:t>
      </w:r>
      <w:proofErr w:type="gramStart"/>
      <w:r>
        <w:rPr>
          <w:rFonts w:ascii="Times New Roman" w:eastAsia="Times New Roman" w:hAnsi="Times New Roman"/>
          <w:sz w:val="16"/>
        </w:rPr>
        <w:t>alimler</w:t>
      </w:r>
      <w:proofErr w:type="gramEnd"/>
      <w:r>
        <w:rPr>
          <w:rFonts w:ascii="Times New Roman" w:eastAsia="Times New Roman" w:hAnsi="Times New Roman"/>
          <w:sz w:val="16"/>
        </w:rPr>
        <w:t xml:space="preserve"> tarafından mütevatir sanıldığını ancak mütevatir şartlarını taşımadığını ifade etmekte (Zeynüddîn İbn Nüceym, </w:t>
      </w:r>
      <w:r>
        <w:rPr>
          <w:rFonts w:ascii="Times New Roman" w:eastAsia="Times New Roman" w:hAnsi="Times New Roman"/>
          <w:i/>
          <w:sz w:val="16"/>
        </w:rPr>
        <w:t>el-Bahru’r-Râik</w:t>
      </w:r>
      <w:r>
        <w:rPr>
          <w:rFonts w:ascii="Times New Roman" w:eastAsia="Times New Roman" w:hAnsi="Times New Roman"/>
          <w:sz w:val="16"/>
        </w:rPr>
        <w:t xml:space="preserve"> </w:t>
      </w:r>
      <w:r>
        <w:rPr>
          <w:rFonts w:ascii="Times New Roman" w:eastAsia="Times New Roman" w:hAnsi="Times New Roman"/>
          <w:i/>
          <w:sz w:val="16"/>
        </w:rPr>
        <w:t>Şerhu Kenzi’d-Dekâik,</w:t>
      </w:r>
    </w:p>
    <w:p w:rsidR="00997717" w:rsidRDefault="00997717" w:rsidP="00997717">
      <w:pPr>
        <w:tabs>
          <w:tab w:val="left" w:pos="226"/>
        </w:tabs>
        <w:spacing w:line="253" w:lineRule="auto"/>
        <w:ind w:left="226" w:hanging="226"/>
        <w:jc w:val="both"/>
        <w:rPr>
          <w:rFonts w:ascii="Times New Roman" w:eastAsia="Times New Roman" w:hAnsi="Times New Roman"/>
          <w:sz w:val="16"/>
        </w:rPr>
        <w:sectPr w:rsidR="00997717">
          <w:pgSz w:w="9240" w:h="13663"/>
          <w:pgMar w:top="1248" w:right="1301" w:bottom="682" w:left="1134" w:header="0" w:footer="0" w:gutter="0"/>
          <w:cols w:space="0" w:equalWidth="0">
            <w:col w:w="6806"/>
          </w:cols>
          <w:docGrid w:linePitch="360"/>
        </w:sectPr>
      </w:pPr>
    </w:p>
    <w:p w:rsidR="00997717" w:rsidRDefault="00997717" w:rsidP="00997717">
      <w:pPr>
        <w:tabs>
          <w:tab w:val="left" w:pos="5840"/>
        </w:tabs>
        <w:spacing w:line="0" w:lineRule="atLeast"/>
        <w:rPr>
          <w:rFonts w:ascii="Times New Roman" w:eastAsia="Times New Roman" w:hAnsi="Times New Roman"/>
          <w:i/>
          <w:sz w:val="13"/>
        </w:rPr>
      </w:pPr>
      <w:bookmarkStart w:id="2" w:name="page4"/>
      <w:bookmarkEnd w:id="2"/>
      <w:r>
        <w:rPr>
          <w:rFonts w:ascii="Times New Roman" w:eastAsia="Times New Roman" w:hAnsi="Times New Roman"/>
          <w:sz w:val="17"/>
        </w:rPr>
        <w:lastRenderedPageBreak/>
        <w:t>170</w:t>
      </w:r>
      <w:r>
        <w:rPr>
          <w:rFonts w:ascii="Times New Roman" w:eastAsia="Times New Roman" w:hAnsi="Times New Roman"/>
        </w:rPr>
        <w:tab/>
      </w:r>
      <w:r>
        <w:rPr>
          <w:rFonts w:ascii="Times New Roman" w:eastAsia="Times New Roman" w:hAnsi="Times New Roman"/>
          <w:i/>
          <w:sz w:val="13"/>
        </w:rPr>
        <w:t>OĞUZHAN TAN</w:t>
      </w:r>
    </w:p>
    <w:p w:rsidR="00997717" w:rsidRDefault="00997717" w:rsidP="00997717">
      <w:pPr>
        <w:spacing w:line="200" w:lineRule="exact"/>
        <w:rPr>
          <w:rFonts w:ascii="Times New Roman" w:eastAsia="Times New Roman" w:hAnsi="Times New Roman"/>
        </w:rPr>
      </w:pPr>
    </w:p>
    <w:p w:rsidR="00997717" w:rsidRDefault="00997717" w:rsidP="00997717">
      <w:pPr>
        <w:spacing w:line="200" w:lineRule="exact"/>
        <w:rPr>
          <w:rFonts w:ascii="Times New Roman" w:eastAsia="Times New Roman" w:hAnsi="Times New Roman"/>
        </w:rPr>
      </w:pPr>
    </w:p>
    <w:p w:rsidR="00997717" w:rsidRDefault="00997717" w:rsidP="00997717">
      <w:pPr>
        <w:spacing w:line="254" w:lineRule="exact"/>
        <w:rPr>
          <w:rFonts w:ascii="Times New Roman" w:eastAsia="Times New Roman" w:hAnsi="Times New Roman"/>
        </w:rPr>
      </w:pPr>
    </w:p>
    <w:p w:rsidR="00997717" w:rsidRDefault="00997717" w:rsidP="00997717">
      <w:pPr>
        <w:spacing w:line="298" w:lineRule="auto"/>
        <w:jc w:val="both"/>
        <w:rPr>
          <w:rFonts w:ascii="Times New Roman" w:eastAsia="Times New Roman" w:hAnsi="Times New Roman"/>
          <w:sz w:val="12"/>
        </w:rPr>
      </w:pPr>
      <w:proofErr w:type="gramStart"/>
      <w:r>
        <w:rPr>
          <w:rFonts w:ascii="Times New Roman" w:eastAsia="Times New Roman" w:hAnsi="Times New Roman"/>
          <w:sz w:val="21"/>
        </w:rPr>
        <w:t>şekildedir</w:t>
      </w:r>
      <w:proofErr w:type="gramEnd"/>
      <w:r>
        <w:rPr>
          <w:rFonts w:ascii="Times New Roman" w:eastAsia="Times New Roman" w:hAnsi="Times New Roman"/>
          <w:sz w:val="21"/>
        </w:rPr>
        <w:t xml:space="preserve">: “Altınla altını, gümüşle gümüşü, buğdayla buğdayı, arpayla arpayı, hurmayla hurmayı, tuzla tuzu misli misline (eşit miktarda) ve elden ele (peşin) olarak </w:t>
      </w:r>
      <w:r>
        <w:rPr>
          <w:rFonts w:ascii="Times New Roman" w:eastAsia="Times New Roman" w:hAnsi="Times New Roman"/>
          <w:b/>
          <w:sz w:val="21"/>
          <w:u w:val="single"/>
        </w:rPr>
        <w:t>değişin</w:t>
      </w:r>
      <w:r>
        <w:rPr>
          <w:rFonts w:ascii="Times New Roman" w:eastAsia="Times New Roman" w:hAnsi="Times New Roman"/>
          <w:sz w:val="21"/>
        </w:rPr>
        <w:t>. Her kim fazla verir ya da alırsa ribâ ile muamelede bulunmuş olur. Ribâ’da alan ile verenin durumu birbirine eşittir.”</w:t>
      </w:r>
      <w:r>
        <w:rPr>
          <w:rFonts w:ascii="Times New Roman" w:eastAsia="Times New Roman" w:hAnsi="Times New Roman"/>
          <w:sz w:val="12"/>
        </w:rPr>
        <w:t>13</w:t>
      </w:r>
    </w:p>
    <w:p w:rsidR="00997717" w:rsidRDefault="00997717" w:rsidP="00997717">
      <w:pPr>
        <w:spacing w:line="1" w:lineRule="exact"/>
        <w:rPr>
          <w:rFonts w:ascii="Times New Roman" w:eastAsia="Times New Roman" w:hAnsi="Times New Roman"/>
        </w:rPr>
      </w:pPr>
    </w:p>
    <w:p w:rsidR="00997717" w:rsidRDefault="00997717" w:rsidP="00997717">
      <w:pPr>
        <w:spacing w:line="298" w:lineRule="auto"/>
        <w:ind w:firstLine="284"/>
        <w:jc w:val="both"/>
        <w:rPr>
          <w:rFonts w:ascii="Times New Roman" w:eastAsia="Times New Roman" w:hAnsi="Times New Roman"/>
          <w:sz w:val="21"/>
        </w:rPr>
      </w:pPr>
      <w:r>
        <w:rPr>
          <w:rFonts w:ascii="Times New Roman" w:eastAsia="Times New Roman" w:hAnsi="Times New Roman"/>
          <w:sz w:val="21"/>
        </w:rPr>
        <w:t>Ubâde b. es-Sâmit’ten rivayet edilen hadisin sonunda ise yukarıdaki rivayete ziyade olarak “bedeller farklı sınıflardan olursa, elden ele olması şartıyla diledi-ğiniz gibi değiştirebilirsiniz” ifadesi vardır.</w:t>
      </w:r>
      <w:r>
        <w:rPr>
          <w:rFonts w:ascii="Times New Roman" w:eastAsia="Times New Roman" w:hAnsi="Times New Roman"/>
          <w:sz w:val="12"/>
        </w:rPr>
        <w:t>14</w:t>
      </w:r>
      <w:r>
        <w:rPr>
          <w:rFonts w:ascii="Times New Roman" w:eastAsia="Times New Roman" w:hAnsi="Times New Roman"/>
          <w:sz w:val="21"/>
        </w:rPr>
        <w:t xml:space="preserve"> Esnâf-ı sitte (altı sınıf) hadisi ola-rak bilinen bu iki rivayet, konu hakkındaki en geniş çerçeveyi oluşturmaktadır.</w:t>
      </w:r>
    </w:p>
    <w:p w:rsidR="00997717" w:rsidRDefault="00997717" w:rsidP="00997717">
      <w:pPr>
        <w:spacing w:line="1" w:lineRule="exact"/>
        <w:rPr>
          <w:rFonts w:ascii="Times New Roman" w:eastAsia="Times New Roman" w:hAnsi="Times New Roman"/>
        </w:rPr>
      </w:pPr>
    </w:p>
    <w:p w:rsidR="00997717" w:rsidRDefault="00997717" w:rsidP="00997717">
      <w:pPr>
        <w:spacing w:line="284" w:lineRule="auto"/>
        <w:ind w:firstLine="284"/>
        <w:jc w:val="both"/>
        <w:rPr>
          <w:rFonts w:ascii="Times New Roman" w:eastAsia="Times New Roman" w:hAnsi="Times New Roman"/>
          <w:sz w:val="22"/>
        </w:rPr>
      </w:pPr>
      <w:r>
        <w:rPr>
          <w:rFonts w:ascii="Times New Roman" w:eastAsia="Times New Roman" w:hAnsi="Times New Roman"/>
          <w:sz w:val="22"/>
        </w:rPr>
        <w:t>Esnâf-ı sitte hadisine göre, aynı sınıftan olan malların birbiriyle değişi-minde bedeller arasında bir fazlalık (tefâdul) bulunmaması ve aynı bedellerin tesliminde herhangi bir gecikme (nesîe) olmaması şarttır. Fıkıh mezheplerinin yaygın olarak kabul ettiği anlayış budur.</w:t>
      </w:r>
    </w:p>
    <w:p w:rsidR="00997717" w:rsidRDefault="00997717" w:rsidP="00997717">
      <w:pPr>
        <w:spacing w:line="3" w:lineRule="exact"/>
        <w:rPr>
          <w:rFonts w:ascii="Times New Roman" w:eastAsia="Times New Roman" w:hAnsi="Times New Roman"/>
        </w:rPr>
      </w:pPr>
    </w:p>
    <w:p w:rsidR="00997717" w:rsidRDefault="00997717" w:rsidP="00997717">
      <w:pPr>
        <w:spacing w:line="312" w:lineRule="auto"/>
        <w:ind w:firstLine="284"/>
        <w:jc w:val="both"/>
        <w:rPr>
          <w:rFonts w:ascii="Times New Roman" w:eastAsia="Times New Roman" w:hAnsi="Times New Roman"/>
          <w:sz w:val="21"/>
        </w:rPr>
      </w:pPr>
      <w:r>
        <w:rPr>
          <w:rFonts w:ascii="Times New Roman" w:eastAsia="Times New Roman" w:hAnsi="Times New Roman"/>
          <w:sz w:val="21"/>
        </w:rPr>
        <w:t>Bununla birlikte ribânın sadece “karşılıklı bedellerin aynı anda teslim edil-memesinden (nesîe)” kaynaklanacağını söyleyerek fazlalık ribâsını kabul et-meyen sahabîler de vardır. Bunlardan özellikle dikkat çekenler İbn Abbâs,</w:t>
      </w:r>
      <w:r>
        <w:rPr>
          <w:rFonts w:ascii="Times New Roman" w:eastAsia="Times New Roman" w:hAnsi="Times New Roman"/>
          <w:sz w:val="12"/>
        </w:rPr>
        <w:t>15</w:t>
      </w:r>
      <w:r>
        <w:rPr>
          <w:rFonts w:ascii="Times New Roman" w:eastAsia="Times New Roman" w:hAnsi="Times New Roman"/>
          <w:sz w:val="21"/>
        </w:rPr>
        <w:t xml:space="preserve"> Üsâme b. Zeyd,</w:t>
      </w:r>
      <w:r>
        <w:rPr>
          <w:rFonts w:ascii="Times New Roman" w:eastAsia="Times New Roman" w:hAnsi="Times New Roman"/>
          <w:sz w:val="12"/>
        </w:rPr>
        <w:t>16</w:t>
      </w:r>
      <w:r>
        <w:rPr>
          <w:rFonts w:ascii="Times New Roman" w:eastAsia="Times New Roman" w:hAnsi="Times New Roman"/>
          <w:sz w:val="21"/>
        </w:rPr>
        <w:t xml:space="preserve"> Abdullah b. Ömer</w:t>
      </w:r>
      <w:r>
        <w:rPr>
          <w:rFonts w:ascii="Times New Roman" w:eastAsia="Times New Roman" w:hAnsi="Times New Roman"/>
          <w:sz w:val="12"/>
        </w:rPr>
        <w:t>17</w:t>
      </w:r>
      <w:r>
        <w:rPr>
          <w:rFonts w:ascii="Times New Roman" w:eastAsia="Times New Roman" w:hAnsi="Times New Roman"/>
          <w:sz w:val="21"/>
        </w:rPr>
        <w:t xml:space="preserve"> ve Muâviye b. Ebî Süfyân’dır</w:t>
      </w:r>
      <w:r>
        <w:rPr>
          <w:rFonts w:ascii="Times New Roman" w:eastAsia="Times New Roman" w:hAnsi="Times New Roman"/>
          <w:sz w:val="12"/>
        </w:rPr>
        <w:t>18</w:t>
      </w:r>
      <w:r>
        <w:rPr>
          <w:rFonts w:ascii="Times New Roman" w:eastAsia="Times New Roman" w:hAnsi="Times New Roman"/>
          <w:sz w:val="21"/>
        </w:rPr>
        <w:t>.</w:t>
      </w:r>
    </w:p>
    <w:p w:rsidR="00997717" w:rsidRDefault="00997717" w:rsidP="00997717">
      <w:pPr>
        <w:spacing w:line="20" w:lineRule="exact"/>
        <w:rPr>
          <w:rFonts w:ascii="Times New Roman" w:eastAsia="Times New Roman" w:hAnsi="Times New Roman"/>
        </w:rPr>
      </w:pPr>
      <w:r>
        <w:rPr>
          <w:rFonts w:ascii="Times New Roman" w:eastAsia="Times New Roman" w:hAnsi="Times New Roman"/>
          <w:sz w:val="21"/>
        </w:rPr>
        <w:pict>
          <v:line id="_x0000_s1028" style="position:absolute;z-index:-251654144" from=".15pt,11.6pt" to="340.35pt,11.6pt" o:userdrawn="t" strokeweight=".25pt"/>
        </w:pict>
      </w:r>
    </w:p>
    <w:p w:rsidR="00997717" w:rsidRDefault="00997717" w:rsidP="00997717">
      <w:pPr>
        <w:spacing w:line="242" w:lineRule="exact"/>
        <w:rPr>
          <w:rFonts w:ascii="Times New Roman" w:eastAsia="Times New Roman" w:hAnsi="Times New Roman"/>
        </w:rPr>
      </w:pPr>
    </w:p>
    <w:p w:rsidR="00997717" w:rsidRDefault="00997717" w:rsidP="00997717">
      <w:pPr>
        <w:spacing w:line="0" w:lineRule="atLeast"/>
        <w:ind w:left="240"/>
        <w:rPr>
          <w:rFonts w:ascii="Times New Roman" w:eastAsia="Times New Roman" w:hAnsi="Times New Roman"/>
          <w:sz w:val="15"/>
        </w:rPr>
      </w:pPr>
      <w:r>
        <w:rPr>
          <w:rFonts w:ascii="Times New Roman" w:eastAsia="Times New Roman" w:hAnsi="Times New Roman"/>
          <w:i/>
          <w:sz w:val="15"/>
        </w:rPr>
        <w:t>Dâru’l-Ma’rife, Beyrût (t.y.)</w:t>
      </w:r>
      <w:proofErr w:type="gramStart"/>
      <w:r>
        <w:rPr>
          <w:rFonts w:ascii="Times New Roman" w:eastAsia="Times New Roman" w:hAnsi="Times New Roman"/>
          <w:i/>
          <w:sz w:val="15"/>
        </w:rPr>
        <w:t>.</w:t>
      </w:r>
      <w:r>
        <w:rPr>
          <w:rFonts w:ascii="Times New Roman" w:eastAsia="Times New Roman" w:hAnsi="Times New Roman"/>
          <w:sz w:val="15"/>
        </w:rPr>
        <w:t>,</w:t>
      </w:r>
      <w:proofErr w:type="gramEnd"/>
      <w:r>
        <w:rPr>
          <w:rFonts w:ascii="Times New Roman" w:eastAsia="Times New Roman" w:hAnsi="Times New Roman"/>
          <w:sz w:val="15"/>
        </w:rPr>
        <w:t xml:space="preserve"> VI/138.) ve Cessâs’ın</w:t>
      </w:r>
      <w:r>
        <w:rPr>
          <w:rFonts w:ascii="Times New Roman" w:eastAsia="Times New Roman" w:hAnsi="Times New Roman"/>
          <w:i/>
          <w:sz w:val="15"/>
        </w:rPr>
        <w:t xml:space="preserve"> </w:t>
      </w:r>
      <w:r>
        <w:rPr>
          <w:rFonts w:ascii="Times New Roman" w:eastAsia="Times New Roman" w:hAnsi="Times New Roman"/>
          <w:sz w:val="15"/>
        </w:rPr>
        <w:t>şu sözünü nakletmektedir: “Ravilerinin çokluğun-</w:t>
      </w:r>
    </w:p>
    <w:p w:rsidR="00997717" w:rsidRDefault="00997717" w:rsidP="00997717">
      <w:pPr>
        <w:spacing w:line="38" w:lineRule="exact"/>
        <w:rPr>
          <w:rFonts w:ascii="Times New Roman" w:eastAsia="Times New Roman" w:hAnsi="Times New Roman"/>
        </w:rPr>
      </w:pPr>
    </w:p>
    <w:p w:rsidR="00997717" w:rsidRDefault="00997717" w:rsidP="00997717">
      <w:pPr>
        <w:spacing w:line="250" w:lineRule="auto"/>
        <w:ind w:left="240"/>
        <w:jc w:val="both"/>
        <w:rPr>
          <w:rFonts w:ascii="Times New Roman" w:eastAsia="Times New Roman" w:hAnsi="Times New Roman"/>
          <w:sz w:val="16"/>
        </w:rPr>
      </w:pPr>
      <w:proofErr w:type="gramStart"/>
      <w:r>
        <w:rPr>
          <w:rFonts w:ascii="Times New Roman" w:eastAsia="Times New Roman" w:hAnsi="Times New Roman"/>
          <w:sz w:val="16"/>
        </w:rPr>
        <w:t>dan</w:t>
      </w:r>
      <w:proofErr w:type="gramEnd"/>
      <w:r>
        <w:rPr>
          <w:rFonts w:ascii="Times New Roman" w:eastAsia="Times New Roman" w:hAnsi="Times New Roman"/>
          <w:sz w:val="16"/>
        </w:rPr>
        <w:t xml:space="preserve"> dolayı bu hadis mütevatire yakın bir hadistir. On altı sahabîden rivayet edilmiştir: Ömer, Ubade b. es-Sâmit, Ebû Saîd el-Hudrî, Sâriye b. Ebî Süfyân, Bilâl, Ebû Hureyre, Ma’mer b. Abdillâh, Ebû Bekr, Osman, Hişâm b. Âmir, Berrâ, Zeyd b. Erkam, Hâlid b. Ubeyd, Ebû Bekre, İbn Ömer, Ebu’d-Derdâ.” (İbn Nüceym, </w:t>
      </w:r>
      <w:r>
        <w:rPr>
          <w:rFonts w:ascii="Times New Roman" w:eastAsia="Times New Roman" w:hAnsi="Times New Roman"/>
          <w:i/>
          <w:sz w:val="16"/>
        </w:rPr>
        <w:t>el-Bahru’r-Râik</w:t>
      </w:r>
      <w:r>
        <w:rPr>
          <w:rFonts w:ascii="Times New Roman" w:eastAsia="Times New Roman" w:hAnsi="Times New Roman"/>
          <w:sz w:val="16"/>
        </w:rPr>
        <w:t>, VI/138) Bu sahabîlerin rivayetlerine bakıldığında her birinin esnaf-ı sitte hadisinin bir kısmını rivayet ettiği görülmektedir.</w:t>
      </w:r>
    </w:p>
    <w:p w:rsidR="00997717" w:rsidRDefault="00997717" w:rsidP="00997717">
      <w:pPr>
        <w:spacing w:line="2" w:lineRule="exact"/>
        <w:rPr>
          <w:rFonts w:ascii="Times New Roman" w:eastAsia="Times New Roman" w:hAnsi="Times New Roman"/>
        </w:rPr>
      </w:pPr>
    </w:p>
    <w:p w:rsidR="00997717" w:rsidRDefault="00997717" w:rsidP="00997717">
      <w:pPr>
        <w:spacing w:line="250" w:lineRule="auto"/>
        <w:ind w:left="240" w:hanging="226"/>
        <w:rPr>
          <w:rFonts w:ascii="Times New Roman" w:eastAsia="Times New Roman" w:hAnsi="Times New Roman"/>
          <w:sz w:val="16"/>
        </w:rPr>
      </w:pPr>
      <w:r>
        <w:rPr>
          <w:rFonts w:ascii="Times New Roman" w:eastAsia="Times New Roman" w:hAnsi="Times New Roman"/>
          <w:sz w:val="16"/>
        </w:rPr>
        <w:t xml:space="preserve">13 Ebu’l-Huseyn Muslim b. el-Haccâc b. Muslim en-Nisâburî, </w:t>
      </w:r>
      <w:r>
        <w:rPr>
          <w:rFonts w:ascii="Times New Roman" w:eastAsia="Times New Roman" w:hAnsi="Times New Roman"/>
          <w:i/>
          <w:sz w:val="16"/>
        </w:rPr>
        <w:t>el-Câmiu’s-Sahîh</w:t>
      </w:r>
      <w:r>
        <w:rPr>
          <w:rFonts w:ascii="Times New Roman" w:eastAsia="Times New Roman" w:hAnsi="Times New Roman"/>
          <w:sz w:val="16"/>
        </w:rPr>
        <w:t>, Dâru’s-Selâm, Riyâd 2000. Müsâkât 15. Hadis no: 4064.</w:t>
      </w:r>
    </w:p>
    <w:p w:rsidR="00997717" w:rsidRDefault="00997717" w:rsidP="00997717">
      <w:pPr>
        <w:spacing w:line="1" w:lineRule="exact"/>
        <w:rPr>
          <w:rFonts w:ascii="Times New Roman" w:eastAsia="Times New Roman" w:hAnsi="Times New Roman"/>
        </w:rPr>
      </w:pPr>
    </w:p>
    <w:p w:rsidR="00997717" w:rsidRDefault="00997717" w:rsidP="00997717">
      <w:pPr>
        <w:numPr>
          <w:ilvl w:val="0"/>
          <w:numId w:val="5"/>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Muslim, Müsâkât 15. Hadis no: 4063.</w:t>
      </w:r>
    </w:p>
    <w:p w:rsidR="00997717" w:rsidRDefault="00997717" w:rsidP="00997717">
      <w:pPr>
        <w:spacing w:line="8" w:lineRule="exact"/>
        <w:rPr>
          <w:rFonts w:ascii="Times New Roman" w:eastAsia="Times New Roman" w:hAnsi="Times New Roman"/>
          <w:sz w:val="16"/>
        </w:rPr>
      </w:pPr>
    </w:p>
    <w:p w:rsidR="00997717" w:rsidRDefault="00997717" w:rsidP="00997717">
      <w:pPr>
        <w:numPr>
          <w:ilvl w:val="0"/>
          <w:numId w:val="5"/>
        </w:numPr>
        <w:tabs>
          <w:tab w:val="left" w:pos="240"/>
        </w:tabs>
        <w:spacing w:line="267" w:lineRule="auto"/>
        <w:ind w:left="240" w:hanging="236"/>
        <w:jc w:val="both"/>
        <w:rPr>
          <w:rFonts w:ascii="Times New Roman" w:eastAsia="Times New Roman" w:hAnsi="Times New Roman"/>
          <w:sz w:val="15"/>
        </w:rPr>
      </w:pPr>
      <w:r>
        <w:rPr>
          <w:rFonts w:ascii="Times New Roman" w:eastAsia="Times New Roman" w:hAnsi="Times New Roman"/>
          <w:sz w:val="15"/>
        </w:rPr>
        <w:t>İbn Abbâs, fazlalık ribâsıyla ilgili hadisi rivayet eden Saîd b. Cübeyr’e, fazlalık ribâsını kabul etmeyişinin ictihadî bir görüş olmadığını ve delil olarak Üsâme b. Zeyd’den duyduğu bir hadise dayandığını söylemiş-</w:t>
      </w:r>
      <w:proofErr w:type="gramStart"/>
      <w:r>
        <w:rPr>
          <w:rFonts w:ascii="Times New Roman" w:eastAsia="Times New Roman" w:hAnsi="Times New Roman"/>
          <w:sz w:val="15"/>
        </w:rPr>
        <w:t>tir</w:t>
      </w:r>
      <w:proofErr w:type="gramEnd"/>
      <w:r>
        <w:rPr>
          <w:rFonts w:ascii="Times New Roman" w:eastAsia="Times New Roman" w:hAnsi="Times New Roman"/>
          <w:sz w:val="15"/>
        </w:rPr>
        <w:t>. (Muslim, Müsâkât 18. Hadis no: 4088, 4091.) Bu rivayette İbn Abbâs’ın Ebû Saîd el-Hudrî’nin rivayet ettiği hadisten etkilenerek görüşünü değiştirdiğine dair herhangi bir ifade de yer almamaktadır.</w:t>
      </w:r>
    </w:p>
    <w:p w:rsidR="00997717" w:rsidRDefault="00997717" w:rsidP="00997717">
      <w:pPr>
        <w:numPr>
          <w:ilvl w:val="0"/>
          <w:numId w:val="5"/>
        </w:numPr>
        <w:tabs>
          <w:tab w:val="left" w:pos="240"/>
        </w:tabs>
        <w:spacing w:line="267" w:lineRule="auto"/>
        <w:ind w:left="240" w:hanging="236"/>
        <w:jc w:val="both"/>
        <w:rPr>
          <w:rFonts w:ascii="Times New Roman" w:eastAsia="Times New Roman" w:hAnsi="Times New Roman"/>
          <w:sz w:val="15"/>
        </w:rPr>
      </w:pPr>
      <w:r>
        <w:rPr>
          <w:rFonts w:ascii="Times New Roman" w:eastAsia="Times New Roman" w:hAnsi="Times New Roman"/>
          <w:sz w:val="15"/>
        </w:rPr>
        <w:t xml:space="preserve">Üsâme b. Zeyd, fazlalık ribâsının reddedilmesine delil olarak gösterilen hadisi rivayet eden sahâbîdir. (Muslim, Müsâkât 18. Hadis no: 4088, 4091.) Nitekim bu hadisin sıhhati konusunda herhangi bir ihtilaf söz konusu değildir. İhtilaf, bu hadisle esnaf-ı sitte hadisinin nasıl cem edileceği noktasın-dadır. (Ebu’l-Fad Ahmed b. Alî İbn Hacer el-Askalânî, </w:t>
      </w:r>
      <w:r>
        <w:rPr>
          <w:rFonts w:ascii="Times New Roman" w:eastAsia="Times New Roman" w:hAnsi="Times New Roman"/>
          <w:i/>
          <w:sz w:val="15"/>
        </w:rPr>
        <w:t>Fethu’l-Bârî</w:t>
      </w:r>
      <w:r>
        <w:rPr>
          <w:rFonts w:ascii="Times New Roman" w:eastAsia="Times New Roman" w:hAnsi="Times New Roman"/>
          <w:sz w:val="15"/>
        </w:rPr>
        <w:t xml:space="preserve"> </w:t>
      </w:r>
      <w:r>
        <w:rPr>
          <w:rFonts w:ascii="Times New Roman" w:eastAsia="Times New Roman" w:hAnsi="Times New Roman"/>
          <w:i/>
          <w:sz w:val="15"/>
        </w:rPr>
        <w:t>Şerhu Sahîhi’l-Buhârî</w:t>
      </w:r>
      <w:r>
        <w:rPr>
          <w:rFonts w:ascii="Times New Roman" w:eastAsia="Times New Roman" w:hAnsi="Times New Roman"/>
          <w:sz w:val="15"/>
        </w:rPr>
        <w:t>, Dâru’l-Ma’rife, Beyrût 1379h</w:t>
      </w:r>
      <w:proofErr w:type="gramStart"/>
      <w:r>
        <w:rPr>
          <w:rFonts w:ascii="Times New Roman" w:eastAsia="Times New Roman" w:hAnsi="Times New Roman"/>
          <w:sz w:val="15"/>
        </w:rPr>
        <w:t>.,</w:t>
      </w:r>
      <w:proofErr w:type="gramEnd"/>
      <w:r>
        <w:rPr>
          <w:rFonts w:ascii="Times New Roman" w:eastAsia="Times New Roman" w:hAnsi="Times New Roman"/>
          <w:sz w:val="15"/>
        </w:rPr>
        <w:t xml:space="preserve"> IV/382. ) Başka bir deyişle bu hadisle amel edilmemesi, hadisin sahih olmama-sından değil, diğer hadis ile olan çelişkinin giderilmesi için yapılan cem ve tevilden kaynaklanmaktadır. (Şemsuddîn Ebu’l-Ferec Abdurrahmân el-Makdisî, </w:t>
      </w:r>
      <w:r>
        <w:rPr>
          <w:rFonts w:ascii="Times New Roman" w:eastAsia="Times New Roman" w:hAnsi="Times New Roman"/>
          <w:i/>
          <w:sz w:val="15"/>
        </w:rPr>
        <w:t>eş-Şerhu’l-Kebîr</w:t>
      </w:r>
      <w:r>
        <w:rPr>
          <w:rFonts w:ascii="Times New Roman" w:eastAsia="Times New Roman" w:hAnsi="Times New Roman"/>
          <w:sz w:val="15"/>
        </w:rPr>
        <w:t xml:space="preserve"> İbn Kudâme, Dâru’l-Kitâbi’l-Arabî, (t.y.), </w:t>
      </w:r>
      <w:r>
        <w:rPr>
          <w:rFonts w:ascii="Times New Roman" w:eastAsia="Times New Roman" w:hAnsi="Times New Roman"/>
          <w:i/>
          <w:sz w:val="15"/>
        </w:rPr>
        <w:t>eş-Şerhu’l-Kebîr</w:t>
      </w:r>
      <w:r>
        <w:rPr>
          <w:rFonts w:ascii="Times New Roman" w:eastAsia="Times New Roman" w:hAnsi="Times New Roman"/>
          <w:sz w:val="15"/>
        </w:rPr>
        <w:t xml:space="preserve">, IV/123; İbn Nüceym, </w:t>
      </w:r>
      <w:r>
        <w:rPr>
          <w:rFonts w:ascii="Times New Roman" w:eastAsia="Times New Roman" w:hAnsi="Times New Roman"/>
          <w:i/>
          <w:sz w:val="15"/>
        </w:rPr>
        <w:t>el-Bahru’r-Râik</w:t>
      </w:r>
      <w:r>
        <w:rPr>
          <w:rFonts w:ascii="Times New Roman" w:eastAsia="Times New Roman" w:hAnsi="Times New Roman"/>
          <w:sz w:val="15"/>
        </w:rPr>
        <w:t xml:space="preserve"> </w:t>
      </w:r>
      <w:r>
        <w:rPr>
          <w:rFonts w:ascii="Times New Roman" w:eastAsia="Times New Roman" w:hAnsi="Times New Roman"/>
          <w:i/>
          <w:sz w:val="15"/>
        </w:rPr>
        <w:t>Şerhu Kenzi’d-Dekâik</w:t>
      </w:r>
      <w:r>
        <w:rPr>
          <w:rFonts w:ascii="Times New Roman" w:eastAsia="Times New Roman" w:hAnsi="Times New Roman"/>
          <w:sz w:val="15"/>
        </w:rPr>
        <w:t>, VI/137.)</w:t>
      </w:r>
    </w:p>
    <w:p w:rsidR="00997717" w:rsidRDefault="00997717" w:rsidP="00997717">
      <w:pPr>
        <w:numPr>
          <w:ilvl w:val="0"/>
          <w:numId w:val="5"/>
        </w:numPr>
        <w:tabs>
          <w:tab w:val="left" w:pos="240"/>
        </w:tabs>
        <w:spacing w:line="250" w:lineRule="auto"/>
        <w:ind w:left="240" w:hanging="236"/>
        <w:jc w:val="both"/>
        <w:rPr>
          <w:rFonts w:ascii="Times New Roman" w:eastAsia="Times New Roman" w:hAnsi="Times New Roman"/>
          <w:sz w:val="16"/>
        </w:rPr>
      </w:pPr>
      <w:r>
        <w:rPr>
          <w:rFonts w:ascii="Times New Roman" w:eastAsia="Times New Roman" w:hAnsi="Times New Roman"/>
          <w:sz w:val="16"/>
        </w:rPr>
        <w:t xml:space="preserve">İbn Ömer, İbn Abbâs’tan farklı olarak konu hakkındaki görüşünü değiştirmiş ve bundan sonra sorulan sorulara o yönde cevap vermiştir. (Ebû Ömer Yûsuf b. Abdillâh İbn Abdilberr, </w:t>
      </w:r>
      <w:r>
        <w:rPr>
          <w:rFonts w:ascii="Times New Roman" w:eastAsia="Times New Roman" w:hAnsi="Times New Roman"/>
          <w:i/>
          <w:sz w:val="16"/>
        </w:rPr>
        <w:t>et-Temhîd li</w:t>
      </w:r>
      <w:r>
        <w:rPr>
          <w:rFonts w:ascii="Times New Roman" w:eastAsia="Times New Roman" w:hAnsi="Times New Roman"/>
          <w:sz w:val="16"/>
        </w:rPr>
        <w:t xml:space="preserve"> </w:t>
      </w:r>
      <w:r>
        <w:rPr>
          <w:rFonts w:ascii="Times New Roman" w:eastAsia="Times New Roman" w:hAnsi="Times New Roman"/>
          <w:i/>
          <w:sz w:val="16"/>
        </w:rPr>
        <w:t>mâ fi’l-Muvatta mine’l-Meâni ve’l-Esânîd</w:t>
      </w:r>
      <w:r>
        <w:rPr>
          <w:rFonts w:ascii="Times New Roman" w:eastAsia="Times New Roman" w:hAnsi="Times New Roman"/>
          <w:sz w:val="16"/>
        </w:rPr>
        <w:t>, Müessesetü’l-Kurtubâ, (b.y.) (t.y.), II/242; Tahâvî,</w:t>
      </w:r>
      <w:r>
        <w:rPr>
          <w:rFonts w:ascii="Times New Roman" w:eastAsia="Times New Roman" w:hAnsi="Times New Roman"/>
          <w:i/>
          <w:sz w:val="16"/>
        </w:rPr>
        <w:t xml:space="preserve"> Şerhu Meâni’l-Âsâr</w:t>
      </w:r>
      <w:r>
        <w:rPr>
          <w:rFonts w:ascii="Times New Roman" w:eastAsia="Times New Roman" w:hAnsi="Times New Roman"/>
          <w:sz w:val="16"/>
        </w:rPr>
        <w:t>, IV/66.)</w:t>
      </w:r>
    </w:p>
    <w:p w:rsidR="00997717" w:rsidRDefault="00997717" w:rsidP="00997717">
      <w:pPr>
        <w:spacing w:line="1" w:lineRule="exact"/>
        <w:rPr>
          <w:rFonts w:ascii="Times New Roman" w:eastAsia="Times New Roman" w:hAnsi="Times New Roman"/>
          <w:sz w:val="16"/>
        </w:rPr>
      </w:pPr>
    </w:p>
    <w:p w:rsidR="00997717" w:rsidRDefault="00997717" w:rsidP="00997717">
      <w:pPr>
        <w:numPr>
          <w:ilvl w:val="0"/>
          <w:numId w:val="5"/>
        </w:numPr>
        <w:tabs>
          <w:tab w:val="left" w:pos="240"/>
        </w:tabs>
        <w:spacing w:line="260" w:lineRule="auto"/>
        <w:ind w:left="240" w:hanging="236"/>
        <w:rPr>
          <w:rFonts w:ascii="Times New Roman" w:eastAsia="Times New Roman" w:hAnsi="Times New Roman"/>
          <w:sz w:val="16"/>
        </w:rPr>
      </w:pPr>
      <w:r>
        <w:rPr>
          <w:rFonts w:ascii="Times New Roman" w:eastAsia="Times New Roman" w:hAnsi="Times New Roman"/>
          <w:sz w:val="16"/>
        </w:rPr>
        <w:t>Muâviye b. Ebî Süfyân’ın, fazlalık ribâsını kabul etmemenin de ötesine geçerek bu konudaki rivayetlere tepki ile yaklaştığına dair rivayetler vardır. (Muslim, Müsâkât 15. Hadis no: 4059.)</w:t>
      </w:r>
    </w:p>
    <w:p w:rsidR="00D93C16" w:rsidRDefault="00997717"/>
    <w:sectPr w:rsidR="00D93C16"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35225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62BBD95A"/>
    <w:lvl w:ilvl="0" w:tplc="FFFFFFFF">
      <w:start w:val="8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1"/>
    <w:multiLevelType w:val="hybridMultilevel"/>
    <w:tmpl w:val="436C6124"/>
    <w:lvl w:ilvl="0" w:tplc="FFFFFFFF">
      <w:start w:val="9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457A6F"/>
    <w:rsid w:val="00354863"/>
    <w:rsid w:val="003E2C73"/>
    <w:rsid w:val="00402397"/>
    <w:rsid w:val="00457A6F"/>
    <w:rsid w:val="00534153"/>
    <w:rsid w:val="00680C6B"/>
    <w:rsid w:val="00974306"/>
    <w:rsid w:val="0099771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6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3</cp:revision>
  <dcterms:created xsi:type="dcterms:W3CDTF">2020-07-17T16:25:00Z</dcterms:created>
  <dcterms:modified xsi:type="dcterms:W3CDTF">2020-07-17T22:39:00Z</dcterms:modified>
</cp:coreProperties>
</file>