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87" w:rsidRDefault="00EE2187" w:rsidP="00EE2187">
      <w:pPr>
        <w:spacing w:line="288" w:lineRule="auto"/>
        <w:ind w:firstLine="284"/>
        <w:jc w:val="both"/>
        <w:rPr>
          <w:rFonts w:ascii="Times New Roman" w:eastAsia="Times New Roman" w:hAnsi="Times New Roman"/>
        </w:rPr>
      </w:pPr>
      <w:r>
        <w:rPr>
          <w:rFonts w:ascii="Times New Roman" w:eastAsia="Times New Roman" w:hAnsi="Times New Roman"/>
        </w:rPr>
        <w:t>Fazlalık ribâsı, iktisadî hayat açısından bakıldığında kredi faizi kadar önemli görünmese de bir çok iktisadî fıkıh problemi, doğrudan ya da dolaylı olarak fazlalık ribâsı ile ilişkilidir. Dolayısıyla fazlalık ribâsı kavramının tah-lil edilmesine ihtiyaç vardır. Biz bu çalışmada öncelikle “fazlalık ribâsı”nın, nasıl anlaşılması gerektiği ile ilgili önerimizi/yaklaşımımızı ortaya koymaya çalışacağız. Başka bir deyişle öncelikle kanaatimize göre doğru olan anlayışı belirteceğiz. Daha sonra bu konudaki klasik anlayışın ne olduğuna ve bu anla-yıştan kaynaklanan çeşitli problemlere değinerek, klasik yaklaşım ile önerilen yaklaşım arasında bir mukayese yapmaya çalışacağız.</w:t>
      </w:r>
    </w:p>
    <w:p w:rsidR="00EE2187" w:rsidRDefault="00EE2187" w:rsidP="00EE2187">
      <w:pPr>
        <w:spacing w:line="247" w:lineRule="exact"/>
        <w:rPr>
          <w:rFonts w:ascii="Times New Roman" w:eastAsia="Times New Roman" w:hAnsi="Times New Roman"/>
        </w:rPr>
      </w:pPr>
    </w:p>
    <w:p w:rsidR="00EE2187" w:rsidRDefault="00EE2187" w:rsidP="00EE2187">
      <w:pPr>
        <w:spacing w:line="0" w:lineRule="atLeast"/>
        <w:ind w:left="280"/>
        <w:rPr>
          <w:rFonts w:ascii="Times New Roman" w:eastAsia="Times New Roman" w:hAnsi="Times New Roman"/>
          <w:b/>
        </w:rPr>
      </w:pPr>
      <w:r>
        <w:rPr>
          <w:rFonts w:ascii="Times New Roman" w:eastAsia="Times New Roman" w:hAnsi="Times New Roman"/>
          <w:b/>
        </w:rPr>
        <w:t>III. Fazlalık Ribâsı Nasıl Anlaşılmalı</w:t>
      </w:r>
    </w:p>
    <w:p w:rsidR="00EE2187" w:rsidRDefault="00EE2187" w:rsidP="00EE2187">
      <w:pPr>
        <w:spacing w:line="51" w:lineRule="exact"/>
        <w:rPr>
          <w:rFonts w:ascii="Times New Roman" w:eastAsia="Times New Roman" w:hAnsi="Times New Roman"/>
        </w:rPr>
      </w:pPr>
    </w:p>
    <w:p w:rsidR="00EE2187" w:rsidRDefault="00EE2187" w:rsidP="00EE2187">
      <w:pPr>
        <w:spacing w:line="284" w:lineRule="auto"/>
        <w:ind w:firstLine="283"/>
        <w:jc w:val="both"/>
        <w:rPr>
          <w:rFonts w:ascii="Times New Roman" w:eastAsia="Times New Roman" w:hAnsi="Times New Roman"/>
        </w:rPr>
      </w:pPr>
      <w:r>
        <w:rPr>
          <w:rFonts w:ascii="Times New Roman" w:eastAsia="Times New Roman" w:hAnsi="Times New Roman"/>
        </w:rPr>
        <w:t>Vahiy ilahîdir. Fakat insanî münasebetlerle ilgili olarak inmektedir. Başka bir ifade ile nassla ortaya konan ilâhî hüküm geneldir. Ancak hakkında nass inen konular, belirli bir zaman diliminde ve belirli şartlar çerçevesinde ortaya çıkmaktadır. Öyleyse, ayet ve hadislerde hükmü açıklanan iktisadi konuların daha doğru anlaşılabilmesi için Hz. Peygamberin yaşadığı zaman diliminin, iktisat tarihinin hangi merhalesine denk düştüğünün ve bu merhalenin iktisadî özelliklerinin neler olduğunun bilinmesi son derece önemlidir. Acaba ilgili ha-diste geçen buğday, arpa vb. mallar Hz. Peygamber’in asrında yaşayan insan ile günümüz insanına aynı şeyleri mi ifade etmektedir? Şu halde, söz konusu hadisin doğru anlaşılması için, dönemin ekonomik strüktürünü analiz etmek yerinde olacaktır.</w:t>
      </w:r>
    </w:p>
    <w:p w:rsidR="00EE2187" w:rsidRDefault="00EE2187" w:rsidP="00EE2187">
      <w:pPr>
        <w:spacing w:line="7" w:lineRule="exact"/>
        <w:rPr>
          <w:rFonts w:ascii="Times New Roman" w:eastAsia="Times New Roman" w:hAnsi="Times New Roman"/>
        </w:rPr>
      </w:pPr>
    </w:p>
    <w:p w:rsidR="00EE2187" w:rsidRDefault="00EE2187" w:rsidP="00EE2187">
      <w:pPr>
        <w:spacing w:line="288" w:lineRule="auto"/>
        <w:ind w:firstLine="284"/>
        <w:jc w:val="both"/>
        <w:rPr>
          <w:rFonts w:ascii="Times New Roman" w:eastAsia="Times New Roman" w:hAnsi="Times New Roman"/>
        </w:rPr>
      </w:pPr>
      <w:r>
        <w:rPr>
          <w:rFonts w:ascii="Times New Roman" w:eastAsia="Times New Roman" w:hAnsi="Times New Roman"/>
        </w:rPr>
        <w:t>İktisat tarihi, dünyanın farklı bölgelerinde de olsa benzer bir gelişim seyri takip etmiştir. Örneğin paranın ortaya çıkışı ve gelişim aşamalarının teorik olarak, -her yerde eşzamanlı olarak olmasa bile- aynı şekilde geliştiği kabul edilmektedir. Başka bir deyişle toplumlar, para kullanımında aynı aşamalar-dan geçmişlerdir. Bu merhalelerden ilki olarak trampa (Barter) aşamasından bahsedilmektedir.</w:t>
      </w:r>
      <w:r>
        <w:rPr>
          <w:rFonts w:ascii="Times New Roman" w:eastAsia="Times New Roman" w:hAnsi="Times New Roman"/>
          <w:sz w:val="12"/>
        </w:rPr>
        <w:t>19</w:t>
      </w:r>
      <w:r>
        <w:rPr>
          <w:rFonts w:ascii="Times New Roman" w:eastAsia="Times New Roman" w:hAnsi="Times New Roman"/>
        </w:rPr>
        <w:t xml:space="preserve"> “Mal ile malın” değişimi anlamına gelen trampa siste-minde bir çok zorluklar olacağı aşikardır. Örneğin bu sistemde değiş-tokuş yapmak isteyen kimselerin birbirini bulabilmeleri pek mümkün olamıyordu. Çoğunlukla bir değişim için birden fazla değişim gerekebiliyordu. Bedellerin bölünemeyen nesnelerden olması halinde değerli olan bir şeyin daha değer-</w:t>
      </w:r>
    </w:p>
    <w:p w:rsidR="00EE2187" w:rsidRDefault="00EE2187" w:rsidP="00EE2187">
      <w:pPr>
        <w:spacing w:line="20" w:lineRule="exact"/>
        <w:rPr>
          <w:rFonts w:ascii="Times New Roman" w:eastAsia="Times New Roman" w:hAnsi="Times New Roman"/>
        </w:rPr>
      </w:pPr>
      <w:r>
        <w:rPr>
          <w:rFonts w:ascii="Times New Roman" w:eastAsia="Times New Roman" w:hAnsi="Times New Roman"/>
        </w:rPr>
        <w:pict>
          <v:line id="_x0000_s1033" style="position:absolute;z-index:-251652096" from="-.3pt,13.45pt" to="141.4pt,13.45pt" o:userdrawn="t" strokeweight=".25pt"/>
        </w:pict>
      </w:r>
    </w:p>
    <w:p w:rsidR="00EE2187" w:rsidRDefault="00EE2187" w:rsidP="00EE2187">
      <w:pPr>
        <w:spacing w:line="20" w:lineRule="exact"/>
        <w:rPr>
          <w:rFonts w:ascii="Times New Roman" w:eastAsia="Times New Roman" w:hAnsi="Times New Roman"/>
        </w:rPr>
        <w:sectPr w:rsidR="00EE2187">
          <w:pgSz w:w="9240" w:h="13663"/>
          <w:pgMar w:top="1248" w:right="1301" w:bottom="699" w:left="1140" w:header="0" w:footer="0" w:gutter="0"/>
          <w:cols w:space="0" w:equalWidth="0">
            <w:col w:w="6800"/>
          </w:cols>
          <w:docGrid w:linePitch="360"/>
        </w:sectPr>
      </w:pPr>
    </w:p>
    <w:p w:rsidR="00EE2187" w:rsidRDefault="00EE2187" w:rsidP="00EE2187">
      <w:pPr>
        <w:spacing w:line="299" w:lineRule="exact"/>
        <w:rPr>
          <w:rFonts w:ascii="Times New Roman" w:eastAsia="Times New Roman" w:hAnsi="Times New Roman"/>
        </w:rPr>
      </w:pPr>
    </w:p>
    <w:p w:rsidR="00EE2187" w:rsidRDefault="00EE2187" w:rsidP="00EE2187">
      <w:pPr>
        <w:spacing w:line="0" w:lineRule="atLeast"/>
        <w:rPr>
          <w:rFonts w:ascii="Times New Roman" w:eastAsia="Times New Roman" w:hAnsi="Times New Roman"/>
          <w:sz w:val="16"/>
        </w:rPr>
      </w:pPr>
      <w:r>
        <w:rPr>
          <w:rFonts w:ascii="Times New Roman" w:eastAsia="Times New Roman" w:hAnsi="Times New Roman"/>
          <w:sz w:val="16"/>
        </w:rPr>
        <w:t xml:space="preserve">19 Arthur  Eli  Monroe,  </w:t>
      </w:r>
      <w:r>
        <w:rPr>
          <w:rFonts w:ascii="Times New Roman" w:eastAsia="Times New Roman" w:hAnsi="Times New Roman"/>
          <w:i/>
          <w:sz w:val="16"/>
        </w:rPr>
        <w:t>Monetary  Theory  Before  Adam  Simith</w:t>
      </w:r>
      <w:r>
        <w:rPr>
          <w:rFonts w:ascii="Times New Roman" w:eastAsia="Times New Roman" w:hAnsi="Times New Roman"/>
          <w:sz w:val="16"/>
        </w:rPr>
        <w:t>,  Batoche  Books,  Ontario-Canada</w:t>
      </w:r>
    </w:p>
    <w:p w:rsidR="00EE2187" w:rsidRDefault="00EE2187" w:rsidP="00EE2187">
      <w:pPr>
        <w:spacing w:line="27" w:lineRule="exact"/>
        <w:rPr>
          <w:rFonts w:ascii="Times New Roman" w:eastAsia="Times New Roman" w:hAnsi="Times New Roman"/>
        </w:rPr>
      </w:pPr>
    </w:p>
    <w:p w:rsidR="00EE2187" w:rsidRDefault="00EE2187" w:rsidP="00EE2187">
      <w:pPr>
        <w:spacing w:line="0" w:lineRule="atLeast"/>
        <w:ind w:left="220"/>
        <w:rPr>
          <w:rFonts w:ascii="Times New Roman" w:eastAsia="Times New Roman" w:hAnsi="Times New Roman"/>
          <w:sz w:val="16"/>
        </w:rPr>
      </w:pPr>
      <w:r>
        <w:rPr>
          <w:rFonts w:ascii="Times New Roman" w:eastAsia="Times New Roman" w:hAnsi="Times New Roman"/>
          <w:sz w:val="16"/>
        </w:rPr>
        <w:t>2001, p. 8, 53.</w:t>
      </w:r>
    </w:p>
    <w:p w:rsidR="00EE2187" w:rsidRDefault="00EE2187" w:rsidP="00EE2187">
      <w:pPr>
        <w:spacing w:line="0" w:lineRule="atLeast"/>
        <w:ind w:left="220"/>
        <w:rPr>
          <w:rFonts w:ascii="Times New Roman" w:eastAsia="Times New Roman" w:hAnsi="Times New Roman"/>
          <w:sz w:val="16"/>
        </w:rPr>
        <w:sectPr w:rsidR="00EE2187">
          <w:type w:val="continuous"/>
          <w:pgSz w:w="9240" w:h="13663"/>
          <w:pgMar w:top="1248" w:right="1301" w:bottom="699" w:left="1140" w:header="0" w:footer="0" w:gutter="0"/>
          <w:cols w:space="0" w:equalWidth="0">
            <w:col w:w="6800"/>
          </w:cols>
          <w:docGrid w:linePitch="360"/>
        </w:sectPr>
      </w:pPr>
    </w:p>
    <w:p w:rsidR="00EE2187" w:rsidRDefault="00EE2187" w:rsidP="00EE2187">
      <w:pPr>
        <w:tabs>
          <w:tab w:val="left" w:pos="5840"/>
        </w:tabs>
        <w:spacing w:line="0" w:lineRule="atLeast"/>
        <w:rPr>
          <w:rFonts w:ascii="Times New Roman" w:eastAsia="Times New Roman" w:hAnsi="Times New Roman"/>
          <w:i/>
          <w:sz w:val="13"/>
        </w:rPr>
      </w:pPr>
      <w:bookmarkStart w:id="0" w:name="page6"/>
      <w:bookmarkEnd w:id="0"/>
      <w:r>
        <w:rPr>
          <w:rFonts w:ascii="Times New Roman" w:eastAsia="Times New Roman" w:hAnsi="Times New Roman"/>
          <w:sz w:val="17"/>
        </w:rPr>
        <w:lastRenderedPageBreak/>
        <w:t>172</w:t>
      </w:r>
      <w:r>
        <w:rPr>
          <w:rFonts w:ascii="Times New Roman" w:eastAsia="Times New Roman" w:hAnsi="Times New Roman"/>
        </w:rPr>
        <w:tab/>
      </w:r>
      <w:r>
        <w:rPr>
          <w:rFonts w:ascii="Times New Roman" w:eastAsia="Times New Roman" w:hAnsi="Times New Roman"/>
          <w:i/>
          <w:sz w:val="13"/>
        </w:rPr>
        <w:t>OĞUZHAN TAN</w:t>
      </w:r>
    </w:p>
    <w:p w:rsidR="00EE2187" w:rsidRDefault="00EE2187" w:rsidP="00EE2187">
      <w:pPr>
        <w:spacing w:line="200" w:lineRule="exact"/>
        <w:rPr>
          <w:rFonts w:ascii="Times New Roman" w:eastAsia="Times New Roman" w:hAnsi="Times New Roman"/>
        </w:rPr>
      </w:pPr>
    </w:p>
    <w:p w:rsidR="00EE2187" w:rsidRDefault="00EE2187" w:rsidP="00EE2187">
      <w:pPr>
        <w:spacing w:line="200" w:lineRule="exact"/>
        <w:rPr>
          <w:rFonts w:ascii="Times New Roman" w:eastAsia="Times New Roman" w:hAnsi="Times New Roman"/>
        </w:rPr>
      </w:pPr>
    </w:p>
    <w:p w:rsidR="00EE2187" w:rsidRDefault="00EE2187" w:rsidP="00EE2187">
      <w:pPr>
        <w:spacing w:line="254" w:lineRule="exact"/>
        <w:rPr>
          <w:rFonts w:ascii="Times New Roman" w:eastAsia="Times New Roman" w:hAnsi="Times New Roman"/>
        </w:rPr>
      </w:pPr>
    </w:p>
    <w:p w:rsidR="00EE2187" w:rsidRDefault="00EE2187" w:rsidP="00EE2187">
      <w:pPr>
        <w:spacing w:line="284" w:lineRule="auto"/>
        <w:jc w:val="both"/>
        <w:rPr>
          <w:rFonts w:ascii="Times New Roman" w:eastAsia="Times New Roman" w:hAnsi="Times New Roman"/>
        </w:rPr>
      </w:pPr>
      <w:r>
        <w:rPr>
          <w:rFonts w:ascii="Times New Roman" w:eastAsia="Times New Roman" w:hAnsi="Times New Roman"/>
        </w:rPr>
        <w:t>siz şeylerle değişimi söz konusu olabiliyordu.</w:t>
      </w:r>
      <w:r>
        <w:rPr>
          <w:rFonts w:ascii="Times New Roman" w:eastAsia="Times New Roman" w:hAnsi="Times New Roman"/>
          <w:sz w:val="12"/>
        </w:rPr>
        <w:t>20</w:t>
      </w:r>
      <w:r>
        <w:rPr>
          <w:rFonts w:ascii="Times New Roman" w:eastAsia="Times New Roman" w:hAnsi="Times New Roman"/>
        </w:rPr>
        <w:t xml:space="preserve"> Trampa’daki bu ve benzeri zorluklar insanları daha pratik bir yola sevk etmiştir. İnsanlar herkesin ihti-yacı olan, dayanıklı, kolaylıkla bölünebilen çeşitli malları bir tür para haline getirmiş ve bu mallar toplumda para görevi görmüştür. Buğday, hurma, tuz gibi besin maddeleri; post, kumaş gibi giyim eşyası olarak kullanılan mallar, belirli hayvanlar ve değerli taş ve madenler mal-para olarak kullanılmıştır.</w:t>
      </w:r>
      <w:r>
        <w:rPr>
          <w:rFonts w:ascii="Times New Roman" w:eastAsia="Times New Roman" w:hAnsi="Times New Roman"/>
          <w:sz w:val="12"/>
        </w:rPr>
        <w:t>21</w:t>
      </w:r>
      <w:r>
        <w:rPr>
          <w:rFonts w:ascii="Times New Roman" w:eastAsia="Times New Roman" w:hAnsi="Times New Roman"/>
        </w:rPr>
        <w:t xml:space="preserve"> Trampa sisteminden sonraki aşamada hakim olan bu sisteme mal-para siste-mi (Commodity Money System) denilmektedir. Bir nesnenin mal-para olarak kullanılabilmesi için, paranın fonksiyonlarını yerine getirmesi gerekmektedir. Bu fonksiyonlar şunlardır:</w:t>
      </w:r>
    </w:p>
    <w:p w:rsidR="00EE2187" w:rsidRDefault="00EE2187" w:rsidP="00EE2187">
      <w:pPr>
        <w:spacing w:line="6" w:lineRule="exact"/>
        <w:rPr>
          <w:rFonts w:ascii="Times New Roman" w:eastAsia="Times New Roman" w:hAnsi="Times New Roman"/>
        </w:rPr>
      </w:pPr>
    </w:p>
    <w:p w:rsidR="00EE2187" w:rsidRDefault="00EE2187" w:rsidP="00EE2187">
      <w:pPr>
        <w:widowControl/>
        <w:numPr>
          <w:ilvl w:val="0"/>
          <w:numId w:val="6"/>
        </w:numPr>
        <w:tabs>
          <w:tab w:val="left" w:pos="500"/>
        </w:tabs>
        <w:autoSpaceDE/>
        <w:autoSpaceDN/>
        <w:spacing w:line="0" w:lineRule="atLeast"/>
        <w:ind w:left="500" w:hanging="213"/>
        <w:rPr>
          <w:rFonts w:ascii="Times New Roman" w:eastAsia="Times New Roman" w:hAnsi="Times New Roman"/>
        </w:rPr>
      </w:pPr>
      <w:r>
        <w:rPr>
          <w:rFonts w:ascii="Times New Roman" w:eastAsia="Times New Roman" w:hAnsi="Times New Roman"/>
        </w:rPr>
        <w:t>Değişim aracı olması</w:t>
      </w:r>
    </w:p>
    <w:p w:rsidR="00EE2187" w:rsidRDefault="00EE2187" w:rsidP="00EE2187">
      <w:pPr>
        <w:spacing w:line="47" w:lineRule="exact"/>
        <w:rPr>
          <w:rFonts w:ascii="Times New Roman" w:eastAsia="Times New Roman" w:hAnsi="Times New Roman"/>
        </w:rPr>
      </w:pPr>
    </w:p>
    <w:p w:rsidR="00EE2187" w:rsidRDefault="00EE2187" w:rsidP="00EE2187">
      <w:pPr>
        <w:widowControl/>
        <w:numPr>
          <w:ilvl w:val="0"/>
          <w:numId w:val="6"/>
        </w:numPr>
        <w:tabs>
          <w:tab w:val="left" w:pos="500"/>
        </w:tabs>
        <w:autoSpaceDE/>
        <w:autoSpaceDN/>
        <w:spacing w:line="0" w:lineRule="atLeast"/>
        <w:ind w:left="500" w:hanging="213"/>
        <w:rPr>
          <w:rFonts w:ascii="Times New Roman" w:eastAsia="Times New Roman" w:hAnsi="Times New Roman"/>
        </w:rPr>
      </w:pPr>
      <w:r>
        <w:rPr>
          <w:rFonts w:ascii="Times New Roman" w:eastAsia="Times New Roman" w:hAnsi="Times New Roman"/>
        </w:rPr>
        <w:t>Ortak bir değer ölçüsü olması.</w:t>
      </w:r>
    </w:p>
    <w:p w:rsidR="00EE2187" w:rsidRDefault="00EE2187" w:rsidP="00EE2187">
      <w:pPr>
        <w:spacing w:line="47" w:lineRule="exact"/>
        <w:rPr>
          <w:rFonts w:ascii="Times New Roman" w:eastAsia="Times New Roman" w:hAnsi="Times New Roman"/>
        </w:rPr>
      </w:pPr>
    </w:p>
    <w:p w:rsidR="00EE2187" w:rsidRDefault="00EE2187" w:rsidP="00EE2187">
      <w:pPr>
        <w:widowControl/>
        <w:numPr>
          <w:ilvl w:val="0"/>
          <w:numId w:val="6"/>
        </w:numPr>
        <w:tabs>
          <w:tab w:val="left" w:pos="500"/>
        </w:tabs>
        <w:autoSpaceDE/>
        <w:autoSpaceDN/>
        <w:spacing w:line="0" w:lineRule="atLeast"/>
        <w:ind w:left="500" w:hanging="213"/>
        <w:rPr>
          <w:rFonts w:ascii="Times New Roman" w:eastAsia="Times New Roman" w:hAnsi="Times New Roman"/>
        </w:rPr>
      </w:pPr>
      <w:r>
        <w:rPr>
          <w:rFonts w:ascii="Times New Roman" w:eastAsia="Times New Roman" w:hAnsi="Times New Roman"/>
        </w:rPr>
        <w:t xml:space="preserve">Birikim ve borçlanma aracı olması. </w:t>
      </w:r>
      <w:r>
        <w:rPr>
          <w:rFonts w:ascii="Times New Roman" w:eastAsia="Times New Roman" w:hAnsi="Times New Roman"/>
          <w:sz w:val="12"/>
        </w:rPr>
        <w:t>22</w:t>
      </w:r>
    </w:p>
    <w:p w:rsidR="00EE2187" w:rsidRDefault="00EE2187" w:rsidP="00EE2187">
      <w:pPr>
        <w:spacing w:line="47" w:lineRule="exact"/>
        <w:rPr>
          <w:rFonts w:ascii="Times New Roman" w:eastAsia="Times New Roman" w:hAnsi="Times New Roman"/>
        </w:rPr>
      </w:pPr>
    </w:p>
    <w:p w:rsidR="00EE2187" w:rsidRDefault="00EE2187" w:rsidP="00EE2187">
      <w:pPr>
        <w:spacing w:line="284" w:lineRule="auto"/>
        <w:ind w:firstLine="283"/>
        <w:rPr>
          <w:rFonts w:ascii="Times New Roman" w:eastAsia="Times New Roman" w:hAnsi="Times New Roman"/>
        </w:rPr>
      </w:pPr>
      <w:r>
        <w:rPr>
          <w:rFonts w:ascii="Times New Roman" w:eastAsia="Times New Roman" w:hAnsi="Times New Roman"/>
        </w:rPr>
        <w:t>Paranın, fonksiyonları yanında bir takım özellikleri de vardır. Bu özellikler ise şunlardır:</w:t>
      </w:r>
    </w:p>
    <w:p w:rsidR="00EE2187" w:rsidRDefault="00EE2187" w:rsidP="00EE2187">
      <w:pPr>
        <w:spacing w:line="1" w:lineRule="exact"/>
        <w:rPr>
          <w:rFonts w:ascii="Times New Roman" w:eastAsia="Times New Roman" w:hAnsi="Times New Roman"/>
        </w:rPr>
      </w:pPr>
    </w:p>
    <w:p w:rsidR="00EE2187" w:rsidRDefault="00EE2187" w:rsidP="00EE2187">
      <w:pPr>
        <w:widowControl/>
        <w:numPr>
          <w:ilvl w:val="0"/>
          <w:numId w:val="7"/>
        </w:numPr>
        <w:tabs>
          <w:tab w:val="left" w:pos="580"/>
        </w:tabs>
        <w:autoSpaceDE/>
        <w:autoSpaceDN/>
        <w:spacing w:line="298" w:lineRule="auto"/>
        <w:ind w:left="580" w:hanging="293"/>
        <w:jc w:val="both"/>
        <w:rPr>
          <w:rFonts w:ascii="Times New Roman" w:eastAsia="Times New Roman" w:hAnsi="Times New Roman"/>
          <w:sz w:val="21"/>
        </w:rPr>
      </w:pPr>
      <w:r>
        <w:rPr>
          <w:rFonts w:ascii="Times New Roman" w:eastAsia="Times New Roman" w:hAnsi="Times New Roman"/>
          <w:sz w:val="21"/>
        </w:rPr>
        <w:t>Bir değere ve faydaya sahip olması (Value and Utility): Para olarak kullanılan nesne, bir değere sahiptir. Bu değer ise söz konusu nesnenin belirli bir faydası ve kullanılabilirliği olmasından kaynaklanır.</w:t>
      </w:r>
    </w:p>
    <w:p w:rsidR="00EE2187" w:rsidRDefault="00EE2187" w:rsidP="00EE2187">
      <w:pPr>
        <w:widowControl/>
        <w:numPr>
          <w:ilvl w:val="0"/>
          <w:numId w:val="7"/>
        </w:numPr>
        <w:tabs>
          <w:tab w:val="left" w:pos="580"/>
        </w:tabs>
        <w:autoSpaceDE/>
        <w:autoSpaceDN/>
        <w:spacing w:line="284" w:lineRule="auto"/>
        <w:ind w:left="580" w:hanging="293"/>
        <w:rPr>
          <w:rFonts w:ascii="Times New Roman" w:eastAsia="Times New Roman" w:hAnsi="Times New Roman"/>
        </w:rPr>
      </w:pPr>
      <w:r>
        <w:rPr>
          <w:rFonts w:ascii="Times New Roman" w:eastAsia="Times New Roman" w:hAnsi="Times New Roman"/>
        </w:rPr>
        <w:t>Taşınabilir olması. (Portability): Kullanım pratikliği açısından para ta-şınılabilirlik özelliğine sahiptir.</w:t>
      </w:r>
    </w:p>
    <w:p w:rsidR="00EE2187" w:rsidRDefault="00EE2187" w:rsidP="00EE2187">
      <w:pPr>
        <w:spacing w:line="1" w:lineRule="exact"/>
        <w:rPr>
          <w:rFonts w:ascii="Times New Roman" w:eastAsia="Times New Roman" w:hAnsi="Times New Roman"/>
        </w:rPr>
      </w:pPr>
    </w:p>
    <w:p w:rsidR="00EE2187" w:rsidRDefault="00EE2187" w:rsidP="00EE2187">
      <w:pPr>
        <w:widowControl/>
        <w:numPr>
          <w:ilvl w:val="0"/>
          <w:numId w:val="7"/>
        </w:numPr>
        <w:tabs>
          <w:tab w:val="left" w:pos="580"/>
        </w:tabs>
        <w:autoSpaceDE/>
        <w:autoSpaceDN/>
        <w:spacing w:line="284" w:lineRule="auto"/>
        <w:ind w:left="580" w:hanging="293"/>
        <w:rPr>
          <w:rFonts w:ascii="Times New Roman" w:eastAsia="Times New Roman" w:hAnsi="Times New Roman"/>
        </w:rPr>
      </w:pPr>
      <w:r>
        <w:rPr>
          <w:rFonts w:ascii="Times New Roman" w:eastAsia="Times New Roman" w:hAnsi="Times New Roman"/>
        </w:rPr>
        <w:t>Bölünebilirlik (Divisibility): Değeri düşük olan şeylerin satın alınabil-mesi için bu özellik gereklidir.</w:t>
      </w:r>
    </w:p>
    <w:p w:rsidR="00EE2187" w:rsidRDefault="00EE2187" w:rsidP="00EE2187">
      <w:pPr>
        <w:spacing w:line="1" w:lineRule="exact"/>
        <w:rPr>
          <w:rFonts w:ascii="Times New Roman" w:eastAsia="Times New Roman" w:hAnsi="Times New Roman"/>
        </w:rPr>
      </w:pPr>
    </w:p>
    <w:p w:rsidR="00EE2187" w:rsidRDefault="00EE2187" w:rsidP="00EE2187">
      <w:pPr>
        <w:widowControl/>
        <w:numPr>
          <w:ilvl w:val="0"/>
          <w:numId w:val="7"/>
        </w:numPr>
        <w:tabs>
          <w:tab w:val="left" w:pos="580"/>
        </w:tabs>
        <w:autoSpaceDE/>
        <w:autoSpaceDN/>
        <w:spacing w:line="284" w:lineRule="auto"/>
        <w:ind w:left="580" w:hanging="293"/>
        <w:rPr>
          <w:rFonts w:ascii="Times New Roman" w:eastAsia="Times New Roman" w:hAnsi="Times New Roman"/>
        </w:rPr>
      </w:pPr>
      <w:r>
        <w:rPr>
          <w:rFonts w:ascii="Times New Roman" w:eastAsia="Times New Roman" w:hAnsi="Times New Roman"/>
        </w:rPr>
        <w:t>Değer istikrârı (Stability of Value): Para olarak kullanılacak şeyin farklı zamanlarda aynı değer ve faydayı sağlayabilmesi.</w:t>
      </w:r>
    </w:p>
    <w:p w:rsidR="00EE2187" w:rsidRDefault="00EE2187" w:rsidP="00EE2187">
      <w:pPr>
        <w:spacing w:line="1" w:lineRule="exact"/>
        <w:rPr>
          <w:rFonts w:ascii="Times New Roman" w:eastAsia="Times New Roman" w:hAnsi="Times New Roman"/>
        </w:rPr>
      </w:pPr>
    </w:p>
    <w:p w:rsidR="00EE2187" w:rsidRDefault="00EE2187" w:rsidP="00EE2187">
      <w:pPr>
        <w:widowControl/>
        <w:numPr>
          <w:ilvl w:val="0"/>
          <w:numId w:val="7"/>
        </w:numPr>
        <w:tabs>
          <w:tab w:val="left" w:pos="580"/>
        </w:tabs>
        <w:autoSpaceDE/>
        <w:autoSpaceDN/>
        <w:spacing w:line="0" w:lineRule="atLeast"/>
        <w:ind w:left="580" w:hanging="293"/>
        <w:rPr>
          <w:rFonts w:ascii="Times New Roman" w:eastAsia="Times New Roman" w:hAnsi="Times New Roman"/>
          <w:sz w:val="21"/>
        </w:rPr>
      </w:pPr>
      <w:r>
        <w:rPr>
          <w:rFonts w:ascii="Times New Roman" w:eastAsia="Times New Roman" w:hAnsi="Times New Roman"/>
          <w:sz w:val="21"/>
        </w:rPr>
        <w:t>Türdeş olması (Homogeneity): Para olarak kullanılacak olan malın aynı</w:t>
      </w:r>
    </w:p>
    <w:p w:rsidR="00EE2187" w:rsidRDefault="00EE2187" w:rsidP="00EE2187">
      <w:pPr>
        <w:spacing w:line="59" w:lineRule="exact"/>
        <w:rPr>
          <w:rFonts w:ascii="Times New Roman" w:eastAsia="Times New Roman" w:hAnsi="Times New Roman"/>
        </w:rPr>
      </w:pPr>
    </w:p>
    <w:p w:rsidR="00EE2187" w:rsidRDefault="00EE2187" w:rsidP="00EE2187">
      <w:pPr>
        <w:spacing w:line="284" w:lineRule="auto"/>
        <w:ind w:left="580"/>
        <w:rPr>
          <w:rFonts w:ascii="Times New Roman" w:eastAsia="Times New Roman" w:hAnsi="Times New Roman"/>
        </w:rPr>
      </w:pPr>
      <w:r>
        <w:rPr>
          <w:rFonts w:ascii="Times New Roman" w:eastAsia="Times New Roman" w:hAnsi="Times New Roman"/>
        </w:rPr>
        <w:t>miktardaki iki parçası türdeş olmalıdır. Bu özellik sayesinde para olarak kullanılacak olan nesnenin standart bir değeri oluşmuş olur.</w:t>
      </w:r>
    </w:p>
    <w:p w:rsidR="00EE2187" w:rsidRDefault="00EE2187" w:rsidP="00EE2187">
      <w:pPr>
        <w:spacing w:line="1" w:lineRule="exact"/>
        <w:rPr>
          <w:rFonts w:ascii="Times New Roman" w:eastAsia="Times New Roman" w:hAnsi="Times New Roman"/>
        </w:rPr>
      </w:pPr>
    </w:p>
    <w:p w:rsidR="00EE2187" w:rsidRDefault="00EE2187" w:rsidP="00EE2187">
      <w:pPr>
        <w:spacing w:line="320" w:lineRule="auto"/>
        <w:ind w:firstLine="284"/>
        <w:jc w:val="both"/>
        <w:rPr>
          <w:rFonts w:ascii="Times New Roman" w:eastAsia="Times New Roman" w:hAnsi="Times New Roman"/>
          <w:sz w:val="21"/>
        </w:rPr>
      </w:pPr>
      <w:r>
        <w:rPr>
          <w:rFonts w:ascii="Times New Roman" w:eastAsia="Times New Roman" w:hAnsi="Times New Roman"/>
          <w:sz w:val="21"/>
        </w:rPr>
        <w:t>Mal-para olarak kullanılan nesnelerden bazıları yukarıdaki fonksiyonları yerine getirmede ve belirtilen özellikleri taşımada diğerlerine göre daha ba-şarılı olabilmiştir. Özellikle altın ve gümüş gibi madenler, gıda türünden olan</w:t>
      </w:r>
    </w:p>
    <w:p w:rsidR="00EE2187" w:rsidRDefault="00EE2187" w:rsidP="00EE2187">
      <w:pPr>
        <w:spacing w:line="20" w:lineRule="exact"/>
        <w:rPr>
          <w:rFonts w:ascii="Times New Roman" w:eastAsia="Times New Roman" w:hAnsi="Times New Roman"/>
        </w:rPr>
      </w:pPr>
      <w:r>
        <w:rPr>
          <w:rFonts w:ascii="Times New Roman" w:eastAsia="Times New Roman" w:hAnsi="Times New Roman"/>
          <w:sz w:val="21"/>
        </w:rPr>
        <w:pict>
          <v:line id="_x0000_s1034" style="position:absolute;z-index:-251651072" from=".15pt,12.3pt" to="141.9pt,12.3pt" o:userdrawn="t" strokeweight=".25pt"/>
        </w:pict>
      </w:r>
    </w:p>
    <w:p w:rsidR="00EE2187" w:rsidRDefault="00EE2187" w:rsidP="00EE2187">
      <w:pPr>
        <w:spacing w:line="256" w:lineRule="exact"/>
        <w:rPr>
          <w:rFonts w:ascii="Times New Roman" w:eastAsia="Times New Roman" w:hAnsi="Times New Roman"/>
        </w:rPr>
      </w:pPr>
    </w:p>
    <w:p w:rsidR="00EE2187" w:rsidRDefault="00EE2187" w:rsidP="00EE2187">
      <w:pPr>
        <w:spacing w:line="258" w:lineRule="auto"/>
        <w:ind w:left="240" w:hanging="226"/>
        <w:jc w:val="both"/>
        <w:rPr>
          <w:rFonts w:ascii="Times New Roman" w:eastAsia="Times New Roman" w:hAnsi="Times New Roman"/>
          <w:sz w:val="16"/>
        </w:rPr>
      </w:pPr>
      <w:r>
        <w:rPr>
          <w:rFonts w:ascii="Times New Roman" w:eastAsia="Times New Roman" w:hAnsi="Times New Roman"/>
          <w:sz w:val="16"/>
        </w:rPr>
        <w:t xml:space="preserve">20 W. Stanley Jevons, </w:t>
      </w:r>
      <w:r>
        <w:rPr>
          <w:rFonts w:ascii="Times New Roman" w:eastAsia="Times New Roman" w:hAnsi="Times New Roman"/>
          <w:i/>
          <w:sz w:val="16"/>
        </w:rPr>
        <w:t>Money and The Mechanism of Exchange</w:t>
      </w:r>
      <w:r>
        <w:rPr>
          <w:rFonts w:ascii="Times New Roman" w:eastAsia="Times New Roman" w:hAnsi="Times New Roman"/>
          <w:sz w:val="16"/>
        </w:rPr>
        <w:t xml:space="preserve">, D. Appleton and Company, New York 1898, p. 13; Katsuhito Iwai, </w:t>
      </w:r>
      <w:r>
        <w:rPr>
          <w:rFonts w:ascii="Times New Roman" w:eastAsia="Times New Roman" w:hAnsi="Times New Roman"/>
          <w:i/>
          <w:sz w:val="16"/>
        </w:rPr>
        <w:t>Evolution of Money</w:t>
      </w:r>
      <w:r>
        <w:rPr>
          <w:rFonts w:ascii="Times New Roman" w:eastAsia="Times New Roman" w:hAnsi="Times New Roman"/>
          <w:sz w:val="16"/>
        </w:rPr>
        <w:t>, Ugo Pagano and Antonio Nicita eds. London, Routledge 1997. P. 5.</w:t>
      </w:r>
    </w:p>
    <w:p w:rsidR="00EE2187" w:rsidRDefault="00EE2187" w:rsidP="00EE2187">
      <w:pPr>
        <w:spacing w:line="1" w:lineRule="exact"/>
        <w:rPr>
          <w:rFonts w:ascii="Times New Roman" w:eastAsia="Times New Roman" w:hAnsi="Times New Roman"/>
        </w:rPr>
      </w:pPr>
    </w:p>
    <w:p w:rsidR="00EE2187" w:rsidRDefault="00EE2187" w:rsidP="00EE2187">
      <w:pPr>
        <w:widowControl/>
        <w:numPr>
          <w:ilvl w:val="0"/>
          <w:numId w:val="8"/>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Iwai, </w:t>
      </w:r>
      <w:r>
        <w:rPr>
          <w:rFonts w:ascii="Times New Roman" w:eastAsia="Times New Roman" w:hAnsi="Times New Roman"/>
          <w:i/>
          <w:sz w:val="16"/>
        </w:rPr>
        <w:t>Evolution of Money</w:t>
      </w:r>
      <w:r>
        <w:rPr>
          <w:rFonts w:ascii="Times New Roman" w:eastAsia="Times New Roman" w:hAnsi="Times New Roman"/>
          <w:sz w:val="16"/>
        </w:rPr>
        <w:t>, p. 2.</w:t>
      </w:r>
    </w:p>
    <w:p w:rsidR="00EE2187" w:rsidRDefault="00EE2187" w:rsidP="00EE2187">
      <w:pPr>
        <w:spacing w:line="8" w:lineRule="exact"/>
        <w:rPr>
          <w:rFonts w:ascii="Times New Roman" w:eastAsia="Times New Roman" w:hAnsi="Times New Roman"/>
          <w:sz w:val="16"/>
        </w:rPr>
      </w:pPr>
    </w:p>
    <w:p w:rsidR="00EE2187" w:rsidRDefault="00EE2187" w:rsidP="00EE2187">
      <w:pPr>
        <w:widowControl/>
        <w:numPr>
          <w:ilvl w:val="0"/>
          <w:numId w:val="8"/>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Stanly, p. 13.</w:t>
      </w:r>
    </w:p>
    <w:p w:rsidR="00EE2187" w:rsidRDefault="00EE2187" w:rsidP="00EE2187">
      <w:pPr>
        <w:tabs>
          <w:tab w:val="left" w:pos="240"/>
        </w:tabs>
        <w:spacing w:line="0" w:lineRule="atLeast"/>
        <w:ind w:left="240" w:hanging="236"/>
        <w:rPr>
          <w:rFonts w:ascii="Times New Roman" w:eastAsia="Times New Roman" w:hAnsi="Times New Roman"/>
          <w:sz w:val="16"/>
        </w:rPr>
        <w:sectPr w:rsidR="00EE2187">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720"/>
        <w:gridCol w:w="1080"/>
      </w:tblGrid>
      <w:tr w:rsidR="00EE2187" w:rsidTr="000C5968">
        <w:trPr>
          <w:trHeight w:val="234"/>
        </w:trPr>
        <w:tc>
          <w:tcPr>
            <w:tcW w:w="5720" w:type="dxa"/>
            <w:shd w:val="clear" w:color="auto" w:fill="auto"/>
            <w:vAlign w:val="bottom"/>
          </w:tcPr>
          <w:p w:rsidR="00EE2187" w:rsidRDefault="00EE2187" w:rsidP="000C5968">
            <w:pPr>
              <w:spacing w:line="0" w:lineRule="atLeast"/>
              <w:rPr>
                <w:rFonts w:ascii="Times New Roman" w:eastAsia="Times New Roman" w:hAnsi="Times New Roman"/>
                <w:i/>
                <w:sz w:val="14"/>
              </w:rPr>
            </w:pPr>
            <w:bookmarkStart w:id="1" w:name="page7"/>
            <w:bookmarkEnd w:id="1"/>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EE2187" w:rsidRDefault="00EE2187" w:rsidP="000C5968">
            <w:pPr>
              <w:spacing w:line="0" w:lineRule="atLeast"/>
              <w:jc w:val="right"/>
              <w:rPr>
                <w:rFonts w:ascii="Times New Roman" w:eastAsia="Times New Roman" w:hAnsi="Times New Roman"/>
                <w:sz w:val="18"/>
              </w:rPr>
            </w:pPr>
            <w:r>
              <w:rPr>
                <w:rFonts w:ascii="Times New Roman" w:eastAsia="Times New Roman" w:hAnsi="Times New Roman"/>
                <w:sz w:val="18"/>
              </w:rPr>
              <w:t>173</w:t>
            </w:r>
          </w:p>
        </w:tc>
      </w:tr>
    </w:tbl>
    <w:p w:rsidR="00EE2187" w:rsidRDefault="00EE2187" w:rsidP="00EE2187">
      <w:pPr>
        <w:spacing w:line="200" w:lineRule="exact"/>
        <w:rPr>
          <w:rFonts w:ascii="Times New Roman" w:eastAsia="Times New Roman" w:hAnsi="Times New Roman"/>
        </w:rPr>
      </w:pPr>
    </w:p>
    <w:p w:rsidR="00EE2187" w:rsidRDefault="00EE2187" w:rsidP="00EE2187">
      <w:pPr>
        <w:spacing w:line="200" w:lineRule="exact"/>
        <w:rPr>
          <w:rFonts w:ascii="Times New Roman" w:eastAsia="Times New Roman" w:hAnsi="Times New Roman"/>
        </w:rPr>
      </w:pPr>
    </w:p>
    <w:p w:rsidR="00EE2187" w:rsidRDefault="00EE2187" w:rsidP="00EE2187">
      <w:pPr>
        <w:spacing w:line="204" w:lineRule="exact"/>
        <w:rPr>
          <w:rFonts w:ascii="Times New Roman" w:eastAsia="Times New Roman" w:hAnsi="Times New Roman"/>
        </w:rPr>
      </w:pPr>
    </w:p>
    <w:p w:rsidR="00EE2187" w:rsidRDefault="00EE2187" w:rsidP="00EE2187">
      <w:pPr>
        <w:spacing w:line="284" w:lineRule="auto"/>
        <w:ind w:left="6"/>
        <w:jc w:val="both"/>
        <w:rPr>
          <w:rFonts w:ascii="Times New Roman" w:eastAsia="Times New Roman" w:hAnsi="Times New Roman"/>
        </w:rPr>
      </w:pPr>
      <w:r>
        <w:rPr>
          <w:rFonts w:ascii="Times New Roman" w:eastAsia="Times New Roman" w:hAnsi="Times New Roman"/>
        </w:rPr>
        <w:t>mal-paralara göre paralık fonksiyon ve özelliklerini daha güçlü bir şekilde ta-şıyabilmişlerdir. Altın ve gümüşün bu başarısı, mal-para sisteminden madenî para sistemine (Coinage System) geçilmesini sağlamıştır. Mal-para sisteminde altın ve gümüş de tıpkı diğer mal-paralar gibi muameleye tabi tutulmaktaydı. Buğday nasıl tartılıyorsa (ya da ölçülüyorsa) altın da aynı şekilde tartılıyor ve paralık fonksiyonunu o şekilde yerine getiriyordu. Sonuçta kullanım kolaylığı olabilmesi ve her alış verişte tartma zahmetinden kurtulmak için madenlerin standart bir ağırlıkta darb edilmesi yoluna gidildi. Böylece altın ve gümüş paralar tartılarak işleme sokulan paralar olmaktan çıkıp sayılarak işleme giren paralar olma özelliğini kazanmış oldu.</w:t>
      </w:r>
    </w:p>
    <w:p w:rsidR="00EE2187" w:rsidRDefault="00EE2187" w:rsidP="00EE2187">
      <w:pPr>
        <w:spacing w:line="6" w:lineRule="exact"/>
        <w:rPr>
          <w:rFonts w:ascii="Times New Roman" w:eastAsia="Times New Roman" w:hAnsi="Times New Roman"/>
        </w:rPr>
      </w:pPr>
    </w:p>
    <w:p w:rsidR="00EE2187" w:rsidRDefault="00EE2187" w:rsidP="00EE2187">
      <w:pPr>
        <w:spacing w:line="284" w:lineRule="auto"/>
        <w:ind w:left="6" w:firstLine="284"/>
        <w:jc w:val="both"/>
        <w:rPr>
          <w:rFonts w:ascii="Times New Roman" w:eastAsia="Times New Roman" w:hAnsi="Times New Roman"/>
        </w:rPr>
      </w:pPr>
      <w:r>
        <w:rPr>
          <w:rFonts w:ascii="Times New Roman" w:eastAsia="Times New Roman" w:hAnsi="Times New Roman"/>
        </w:rPr>
        <w:t>Paranın geçirdiği aşamalar, paranın fonksiyonları ve özellikleri gibi konu-lara değinmemizin nedeni, esnâf-ı sitte hadisinin bu çerçevede değerlendiril-mesi gerektiğini düşünmemizden kaynaklanmaktadır. Bu noktada soracağı-mız ve cevaplandırmaya çalışacağımız soru şudur: Acaba teşri asrında, vahyin indiği yerler olan Mekke ve Medine’de hakim olan para sistemi yukarıdaki-lerden hangisiydi? Doğrusu, esnâf-ı sitte hadisinin anlaşılması bakımından bu soru anahtar mesabesindedir.</w:t>
      </w:r>
    </w:p>
    <w:p w:rsidR="00EE2187" w:rsidRDefault="00EE2187" w:rsidP="00EE2187">
      <w:pPr>
        <w:spacing w:line="4" w:lineRule="exact"/>
        <w:rPr>
          <w:rFonts w:ascii="Times New Roman" w:eastAsia="Times New Roman" w:hAnsi="Times New Roman"/>
        </w:rPr>
      </w:pPr>
    </w:p>
    <w:p w:rsidR="00EE2187" w:rsidRDefault="00EE2187" w:rsidP="00EE2187">
      <w:pPr>
        <w:spacing w:line="284" w:lineRule="auto"/>
        <w:ind w:left="6" w:firstLine="283"/>
        <w:jc w:val="both"/>
        <w:rPr>
          <w:rFonts w:ascii="Times New Roman" w:eastAsia="Times New Roman" w:hAnsi="Times New Roman"/>
        </w:rPr>
      </w:pPr>
      <w:r>
        <w:rPr>
          <w:rFonts w:ascii="Times New Roman" w:eastAsia="Times New Roman" w:hAnsi="Times New Roman"/>
        </w:rPr>
        <w:t>Hz. Peygamber’in yaşadığı dönemde hangi para sisteminin hakim olduğu-nu anlamak için elimizdeki en uygun malzeme ayetler ve hadislerdir.</w:t>
      </w:r>
    </w:p>
    <w:p w:rsidR="00EE2187" w:rsidRDefault="00EE2187" w:rsidP="00EE2187">
      <w:pPr>
        <w:spacing w:line="1" w:lineRule="exact"/>
        <w:rPr>
          <w:rFonts w:ascii="Times New Roman" w:eastAsia="Times New Roman" w:hAnsi="Times New Roman"/>
        </w:rPr>
      </w:pPr>
    </w:p>
    <w:p w:rsidR="00EE2187" w:rsidRDefault="00EE2187" w:rsidP="00EE2187">
      <w:pPr>
        <w:spacing w:line="298" w:lineRule="auto"/>
        <w:ind w:left="6" w:firstLine="283"/>
        <w:jc w:val="both"/>
        <w:rPr>
          <w:rFonts w:ascii="Times New Roman" w:eastAsia="Times New Roman" w:hAnsi="Times New Roman"/>
          <w:sz w:val="21"/>
        </w:rPr>
      </w:pPr>
      <w:r>
        <w:rPr>
          <w:rFonts w:ascii="Times New Roman" w:eastAsia="Times New Roman" w:hAnsi="Times New Roman"/>
          <w:sz w:val="21"/>
        </w:rPr>
        <w:t>Her ne kadar günümüz Arapçasında bey’ “satmak”, şirâ ise “satın almak” anlamına gelmekteyse de bunlar, kelimelerin sonradan kazandığı anlamlardır. Bu iki lafzın ortak anlamı, “mutlak mübadele”dir. Yani her türlü mübadele bir bey’ ve şirâdır. Başka bir deyişle bir değişimin bey olması için değişimi ya-</w:t>
      </w:r>
    </w:p>
    <w:p w:rsidR="00EE2187" w:rsidRDefault="00EE2187" w:rsidP="00EE2187">
      <w:pPr>
        <w:spacing w:line="1" w:lineRule="exact"/>
        <w:rPr>
          <w:rFonts w:ascii="Times New Roman" w:eastAsia="Times New Roman" w:hAnsi="Times New Roman"/>
        </w:rPr>
      </w:pPr>
    </w:p>
    <w:p w:rsidR="00EE2187" w:rsidRDefault="00EE2187" w:rsidP="00EE2187">
      <w:pPr>
        <w:spacing w:line="263" w:lineRule="auto"/>
        <w:ind w:left="6"/>
        <w:jc w:val="both"/>
        <w:rPr>
          <w:rFonts w:ascii="Times New Roman" w:eastAsia="Times New Roman" w:hAnsi="Times New Roman"/>
        </w:rPr>
      </w:pPr>
      <w:r>
        <w:rPr>
          <w:rFonts w:ascii="Times New Roman" w:eastAsia="Times New Roman" w:hAnsi="Times New Roman"/>
        </w:rPr>
        <w:t xml:space="preserve">pılan şeylerden birinin para olması şart değildir. Bu kelimelerin sülâsî halleri ( </w:t>
      </w:r>
      <w:r>
        <w:rPr>
          <w:sz w:val="25"/>
        </w:rPr>
        <w:t>عاب</w:t>
      </w:r>
      <w:r>
        <w:rPr>
          <w:rFonts w:ascii="Times New Roman" w:eastAsia="Times New Roman" w:hAnsi="Times New Roman"/>
        </w:rPr>
        <w:t xml:space="preserve">ve </w:t>
      </w:r>
      <w:r>
        <w:rPr>
          <w:sz w:val="25"/>
        </w:rPr>
        <w:t>ىرش</w:t>
      </w:r>
      <w:r>
        <w:rPr>
          <w:rFonts w:ascii="Times New Roman" w:eastAsia="Times New Roman" w:hAnsi="Times New Roman"/>
        </w:rPr>
        <w:t xml:space="preserve">) eş anlamlıdır. Aynı şekilde her iki kelimenin iftiâl vezni ( </w:t>
      </w:r>
      <w:r>
        <w:rPr>
          <w:sz w:val="25"/>
        </w:rPr>
        <w:t>عاتبا</w:t>
      </w:r>
      <w:r>
        <w:rPr>
          <w:rFonts w:ascii="Times New Roman" w:eastAsia="Times New Roman" w:hAnsi="Times New Roman"/>
        </w:rPr>
        <w:t xml:space="preserve">ve </w:t>
      </w:r>
      <w:r>
        <w:rPr>
          <w:sz w:val="25"/>
        </w:rPr>
        <w:t>ىرتشا</w:t>
      </w:r>
      <w:r>
        <w:t>)</w:t>
      </w:r>
      <w:r>
        <w:rPr>
          <w:sz w:val="25"/>
        </w:rPr>
        <w:t xml:space="preserve"> </w:t>
      </w:r>
      <w:r>
        <w:rPr>
          <w:rFonts w:ascii="Times New Roman" w:eastAsia="Times New Roman" w:hAnsi="Times New Roman"/>
        </w:rPr>
        <w:t>de eşanlamlıdır.</w:t>
      </w:r>
      <w:r>
        <w:rPr>
          <w:rFonts w:ascii="Times New Roman" w:eastAsia="Times New Roman" w:hAnsi="Times New Roman"/>
          <w:sz w:val="11"/>
        </w:rPr>
        <w:t>23</w:t>
      </w:r>
      <w:r>
        <w:rPr>
          <w:sz w:val="25"/>
        </w:rPr>
        <w:t xml:space="preserve"> </w:t>
      </w:r>
      <w:r>
        <w:rPr>
          <w:rFonts w:ascii="Times New Roman" w:eastAsia="Times New Roman" w:hAnsi="Times New Roman"/>
        </w:rPr>
        <w:t>Dolayısıyla bey’ ve</w:t>
      </w:r>
      <w:r>
        <w:rPr>
          <w:sz w:val="25"/>
        </w:rPr>
        <w:t xml:space="preserve"> </w:t>
      </w:r>
      <w:r>
        <w:rPr>
          <w:rFonts w:ascii="Times New Roman" w:eastAsia="Times New Roman" w:hAnsi="Times New Roman"/>
        </w:rPr>
        <w:t>şira, asıl olarak “satmak” ya da</w:t>
      </w:r>
      <w:r>
        <w:rPr>
          <w:sz w:val="25"/>
        </w:rPr>
        <w:t xml:space="preserve"> </w:t>
      </w:r>
      <w:r>
        <w:rPr>
          <w:rFonts w:ascii="Times New Roman" w:eastAsia="Times New Roman" w:hAnsi="Times New Roman"/>
        </w:rPr>
        <w:t>“satın almak”tan ziyade, “mübadelede bulunmak” anlamına gelmektedir.</w:t>
      </w:r>
    </w:p>
    <w:p w:rsidR="00EE2187" w:rsidRDefault="00EE2187" w:rsidP="00EE2187">
      <w:pPr>
        <w:spacing w:line="312" w:lineRule="auto"/>
        <w:ind w:left="6" w:firstLine="284"/>
        <w:jc w:val="both"/>
        <w:rPr>
          <w:rFonts w:ascii="Times New Roman" w:eastAsia="Times New Roman" w:hAnsi="Times New Roman"/>
          <w:sz w:val="21"/>
        </w:rPr>
      </w:pPr>
      <w:r>
        <w:rPr>
          <w:rFonts w:ascii="Times New Roman" w:eastAsia="Times New Roman" w:hAnsi="Times New Roman"/>
          <w:sz w:val="21"/>
        </w:rPr>
        <w:t xml:space="preserve">Şirâ ve bey’ kavramları Kur’ân-ı Kerim’de de mübadele anlamında kul-lanılmıştır. Örneğin Bakara suresi 16. ayette “hidayeti dalâlet ile </w:t>
      </w:r>
      <w:r>
        <w:rPr>
          <w:rFonts w:ascii="Times New Roman" w:eastAsia="Times New Roman" w:hAnsi="Times New Roman"/>
          <w:sz w:val="21"/>
          <w:u w:val="single"/>
        </w:rPr>
        <w:t>değiştiren-ler</w:t>
      </w:r>
      <w:r>
        <w:rPr>
          <w:rFonts w:ascii="Times New Roman" w:eastAsia="Times New Roman" w:hAnsi="Times New Roman"/>
          <w:sz w:val="21"/>
        </w:rPr>
        <w:t>den” bahsedilmektedir.</w:t>
      </w:r>
      <w:r>
        <w:rPr>
          <w:rFonts w:ascii="Times New Roman" w:eastAsia="Times New Roman" w:hAnsi="Times New Roman"/>
          <w:sz w:val="12"/>
        </w:rPr>
        <w:t>24</w:t>
      </w:r>
      <w:r>
        <w:rPr>
          <w:rFonts w:ascii="Times New Roman" w:eastAsia="Times New Roman" w:hAnsi="Times New Roman"/>
          <w:sz w:val="21"/>
        </w:rPr>
        <w:t xml:space="preserve"> Hadis-i şeriflerde de “bey’” malın malla değişimi anlamında kullanılmaktadır. Nitekim bazı hadis kitaplarında “canlının canlıy-</w:t>
      </w:r>
    </w:p>
    <w:p w:rsidR="00EE2187" w:rsidRDefault="00EE2187" w:rsidP="00EE2187">
      <w:pPr>
        <w:spacing w:line="20" w:lineRule="exact"/>
        <w:rPr>
          <w:rFonts w:ascii="Times New Roman" w:eastAsia="Times New Roman" w:hAnsi="Times New Roman"/>
        </w:rPr>
      </w:pPr>
      <w:r>
        <w:rPr>
          <w:rFonts w:ascii="Times New Roman" w:eastAsia="Times New Roman" w:hAnsi="Times New Roman"/>
          <w:sz w:val="21"/>
        </w:rPr>
        <w:pict>
          <v:line id="_x0000_s1035" style="position:absolute;z-index:-251650048" from="0,17pt" to="141.7pt,17pt" o:userdrawn="t" strokeweight=".25pt"/>
        </w:pict>
      </w:r>
    </w:p>
    <w:p w:rsidR="00EE2187" w:rsidRDefault="00EE2187" w:rsidP="00EE2187">
      <w:pPr>
        <w:spacing w:line="20" w:lineRule="exact"/>
        <w:rPr>
          <w:rFonts w:ascii="Times New Roman" w:eastAsia="Times New Roman" w:hAnsi="Times New Roman"/>
        </w:rPr>
        <w:sectPr w:rsidR="00EE2187">
          <w:pgSz w:w="9240" w:h="13663"/>
          <w:pgMar w:top="1248" w:right="1301" w:bottom="677" w:left="1134" w:header="0" w:footer="0" w:gutter="0"/>
          <w:cols w:space="0" w:equalWidth="0">
            <w:col w:w="6806"/>
          </w:cols>
          <w:docGrid w:linePitch="360"/>
        </w:sectPr>
      </w:pPr>
    </w:p>
    <w:p w:rsidR="00EE2187" w:rsidRDefault="00EE2187" w:rsidP="00EE2187">
      <w:pPr>
        <w:spacing w:line="372" w:lineRule="exact"/>
        <w:rPr>
          <w:rFonts w:ascii="Times New Roman" w:eastAsia="Times New Roman" w:hAnsi="Times New Roman"/>
        </w:rPr>
      </w:pPr>
    </w:p>
    <w:p w:rsidR="00EE2187" w:rsidRDefault="00EE2187" w:rsidP="00EE2187">
      <w:pPr>
        <w:widowControl/>
        <w:numPr>
          <w:ilvl w:val="0"/>
          <w:numId w:val="9"/>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İbn Manzûr, VIII/23.</w:t>
      </w:r>
    </w:p>
    <w:p w:rsidR="00EE2187" w:rsidRDefault="00EE2187" w:rsidP="00EE2187">
      <w:pPr>
        <w:spacing w:line="24" w:lineRule="exact"/>
        <w:rPr>
          <w:rFonts w:ascii="Times New Roman" w:eastAsia="Times New Roman" w:hAnsi="Times New Roman"/>
          <w:sz w:val="16"/>
        </w:rPr>
      </w:pPr>
    </w:p>
    <w:p w:rsidR="00EE2187" w:rsidRDefault="00EE2187" w:rsidP="00EE2187">
      <w:pPr>
        <w:widowControl/>
        <w:numPr>
          <w:ilvl w:val="0"/>
          <w:numId w:val="9"/>
        </w:numPr>
        <w:tabs>
          <w:tab w:val="left" w:pos="226"/>
        </w:tabs>
        <w:autoSpaceDE/>
        <w:autoSpaceDN/>
        <w:spacing w:line="260" w:lineRule="auto"/>
        <w:ind w:left="226" w:hanging="226"/>
        <w:rPr>
          <w:rFonts w:ascii="Times New Roman" w:eastAsia="Times New Roman" w:hAnsi="Times New Roman"/>
          <w:sz w:val="16"/>
        </w:rPr>
      </w:pPr>
      <w:r>
        <w:rPr>
          <w:rFonts w:ascii="Times New Roman" w:eastAsia="Times New Roman" w:hAnsi="Times New Roman"/>
          <w:sz w:val="16"/>
        </w:rPr>
        <w:t>Bu ifade, “hidayet yerine dalaleti satın almak” şeklinde tercüme edilirken “şirâ” lafzının sonra-dan kazandığı dar anlam esas alınmış olmaktadır.</w:t>
      </w:r>
    </w:p>
    <w:p w:rsidR="00EE2187" w:rsidRDefault="00EE2187" w:rsidP="00EE2187">
      <w:pPr>
        <w:tabs>
          <w:tab w:val="left" w:pos="226"/>
        </w:tabs>
        <w:spacing w:line="260" w:lineRule="auto"/>
        <w:ind w:left="226" w:hanging="226"/>
        <w:rPr>
          <w:rFonts w:ascii="Times New Roman" w:eastAsia="Times New Roman" w:hAnsi="Times New Roman"/>
          <w:sz w:val="16"/>
        </w:rPr>
        <w:sectPr w:rsidR="00EE2187">
          <w:type w:val="continuous"/>
          <w:pgSz w:w="9240" w:h="13663"/>
          <w:pgMar w:top="1248" w:right="1301" w:bottom="677" w:left="1134" w:header="0" w:footer="0" w:gutter="0"/>
          <w:cols w:space="0" w:equalWidth="0">
            <w:col w:w="6806"/>
          </w:cols>
          <w:docGrid w:linePitch="360"/>
        </w:sectPr>
      </w:pPr>
    </w:p>
    <w:p w:rsidR="00EE2187" w:rsidRDefault="00EE2187" w:rsidP="00EE2187">
      <w:pPr>
        <w:tabs>
          <w:tab w:val="left" w:pos="5840"/>
        </w:tabs>
        <w:spacing w:line="0" w:lineRule="atLeast"/>
        <w:rPr>
          <w:rFonts w:ascii="Times New Roman" w:eastAsia="Times New Roman" w:hAnsi="Times New Roman"/>
          <w:i/>
          <w:sz w:val="13"/>
        </w:rPr>
      </w:pPr>
      <w:bookmarkStart w:id="2" w:name="page8"/>
      <w:bookmarkEnd w:id="2"/>
      <w:r>
        <w:rPr>
          <w:rFonts w:ascii="Times New Roman" w:eastAsia="Times New Roman" w:hAnsi="Times New Roman"/>
          <w:sz w:val="17"/>
        </w:rPr>
        <w:lastRenderedPageBreak/>
        <w:t>174</w:t>
      </w:r>
      <w:r>
        <w:rPr>
          <w:rFonts w:ascii="Times New Roman" w:eastAsia="Times New Roman" w:hAnsi="Times New Roman"/>
        </w:rPr>
        <w:tab/>
      </w:r>
      <w:r>
        <w:rPr>
          <w:rFonts w:ascii="Times New Roman" w:eastAsia="Times New Roman" w:hAnsi="Times New Roman"/>
          <w:i/>
          <w:sz w:val="13"/>
        </w:rPr>
        <w:t>OĞUZHAN TAN</w:t>
      </w:r>
    </w:p>
    <w:p w:rsidR="00EE2187" w:rsidRDefault="00EE2187" w:rsidP="00EE2187">
      <w:pPr>
        <w:spacing w:line="200" w:lineRule="exact"/>
        <w:rPr>
          <w:rFonts w:ascii="Times New Roman" w:eastAsia="Times New Roman" w:hAnsi="Times New Roman"/>
        </w:rPr>
      </w:pPr>
    </w:p>
    <w:p w:rsidR="00EE2187" w:rsidRDefault="00EE2187" w:rsidP="00EE2187">
      <w:pPr>
        <w:spacing w:line="200" w:lineRule="exact"/>
        <w:rPr>
          <w:rFonts w:ascii="Times New Roman" w:eastAsia="Times New Roman" w:hAnsi="Times New Roman"/>
        </w:rPr>
      </w:pPr>
    </w:p>
    <w:p w:rsidR="00EE2187" w:rsidRDefault="00EE2187" w:rsidP="00EE2187">
      <w:pPr>
        <w:spacing w:line="254" w:lineRule="exact"/>
        <w:rPr>
          <w:rFonts w:ascii="Times New Roman" w:eastAsia="Times New Roman" w:hAnsi="Times New Roman"/>
        </w:rPr>
      </w:pPr>
    </w:p>
    <w:p w:rsidR="00EE2187" w:rsidRDefault="00EE2187" w:rsidP="00EE2187">
      <w:pPr>
        <w:spacing w:line="275" w:lineRule="auto"/>
        <w:jc w:val="both"/>
        <w:rPr>
          <w:rFonts w:ascii="Times New Roman" w:eastAsia="Times New Roman" w:hAnsi="Times New Roman"/>
        </w:rPr>
      </w:pPr>
      <w:r>
        <w:rPr>
          <w:rFonts w:ascii="Times New Roman" w:eastAsia="Times New Roman" w:hAnsi="Times New Roman"/>
        </w:rPr>
        <w:t>la mübadelesi (bey’i) ile ilgili bâb”</w:t>
      </w:r>
      <w:r>
        <w:rPr>
          <w:rFonts w:ascii="Times New Roman" w:eastAsia="Times New Roman" w:hAnsi="Times New Roman"/>
          <w:sz w:val="12"/>
        </w:rPr>
        <w:t>25</w:t>
      </w:r>
      <w:r>
        <w:rPr>
          <w:rFonts w:ascii="Times New Roman" w:eastAsia="Times New Roman" w:hAnsi="Times New Roman"/>
        </w:rPr>
        <w:t xml:space="preserve"> bulunmaktadır. Bu babda zikredilen riva-yetlerden birinde “İbn Ömer’in bir tane bineklik deve ile o özellikte olmayan dört deveyi </w:t>
      </w:r>
      <w:r>
        <w:rPr>
          <w:rFonts w:ascii="Times New Roman" w:eastAsia="Times New Roman" w:hAnsi="Times New Roman"/>
          <w:u w:val="single"/>
        </w:rPr>
        <w:t>değiştiği</w:t>
      </w:r>
      <w:r>
        <w:rPr>
          <w:rFonts w:ascii="Times New Roman" w:eastAsia="Times New Roman" w:hAnsi="Times New Roman"/>
        </w:rPr>
        <w:t>”nden</w:t>
      </w:r>
      <w:r>
        <w:rPr>
          <w:rFonts w:ascii="Times New Roman" w:eastAsia="Times New Roman" w:hAnsi="Times New Roman"/>
          <w:sz w:val="12"/>
        </w:rPr>
        <w:t>26</w:t>
      </w:r>
      <w:r>
        <w:rPr>
          <w:rFonts w:ascii="Times New Roman" w:eastAsia="Times New Roman" w:hAnsi="Times New Roman"/>
        </w:rPr>
        <w:t xml:space="preserve"> bahsedilmektedir. Esnâf-ı sitte hadisinde geçen “bey’” sözcüğü de “para karşılığı mal satmak” anlamında değil; “malın mal ile değiştirilmesi” anlamında kullanılmıştır.</w:t>
      </w:r>
    </w:p>
    <w:p w:rsidR="00860CA7" w:rsidRPr="00860CA7" w:rsidRDefault="009321D8" w:rsidP="00860CA7">
      <w:pPr>
        <w:pStyle w:val="GvdeMetni"/>
        <w:spacing w:line="360" w:lineRule="auto"/>
        <w:jc w:val="both"/>
        <w:rPr>
          <w:sz w:val="24"/>
          <w:szCs w:val="24"/>
        </w:rPr>
      </w:pPr>
      <w:r w:rsidRPr="009321D8">
        <w:rPr>
          <w:sz w:val="24"/>
          <w:szCs w:val="24"/>
        </w:rPr>
        <w:pict>
          <v:group id="_x0000_s1030" style="position:absolute;left:0;text-align:left;margin-left:46.15pt;margin-top:36pt;width:328.55pt;height:22.5pt;z-index:251662336;mso-position-horizontal-relative:page;mso-position-vertical-relative:page" coordorigin="923,720" coordsize="6571,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998;top:950;width:4949;height:53">
              <v:imagedata r:id="rId7" o:title=""/>
            </v:shape>
            <v:rect id="_x0000_s1032" style="position:absolute;left:922;top:720;width:6571;height:450" stroked="f"/>
            <w10:wrap anchorx="page" anchory="page"/>
          </v:group>
        </w:pict>
      </w:r>
    </w:p>
    <w:sectPr w:rsidR="00860CA7" w:rsidRPr="00860CA7" w:rsidSect="0053415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D06" w:rsidRDefault="00622D06" w:rsidP="00860CA7">
      <w:r>
        <w:separator/>
      </w:r>
    </w:p>
  </w:endnote>
  <w:endnote w:type="continuationSeparator" w:id="0">
    <w:p w:rsidR="00622D06" w:rsidRDefault="00622D06" w:rsidP="00860C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D06" w:rsidRDefault="00622D06" w:rsidP="00860CA7">
      <w:r>
        <w:separator/>
      </w:r>
    </w:p>
  </w:footnote>
  <w:footnote w:type="continuationSeparator" w:id="0">
    <w:p w:rsidR="00622D06" w:rsidRDefault="00622D06" w:rsidP="00860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9321D8">
    <w:pPr>
      <w:pStyle w:val="GvdeMetni"/>
      <w:spacing w:line="14" w:lineRule="auto"/>
      <w:rPr>
        <w:sz w:val="20"/>
      </w:rPr>
    </w:pPr>
    <w:r w:rsidRPr="009321D8">
      <w:pict>
        <v:shapetype id="_x0000_t202" coordsize="21600,21600" o:spt="202" path="m,l,21600r21600,l21600,xe">
          <v:stroke joinstyle="miter"/>
          <v:path gradientshapeok="t" o:connecttype="rect"/>
        </v:shapetype>
        <v:shape id="_x0000_s2051" type="#_x0000_t202" style="position:absolute;margin-left:218.3pt;margin-top:61.8pt;width:181.15pt;height:14.85pt;z-index:-251658752;mso-position-horizontal-relative:page;mso-position-vertical-relative:page" filled="f" stroked="f">
          <v:textbox style="mso-next-textbox:#_x0000_s2051" inset="0,0,0,0">
            <w:txbxContent>
              <w:p w:rsidR="00587DB9" w:rsidRDefault="00622D06">
                <w:pPr>
                  <w:pStyle w:val="GvdeMetni"/>
                  <w:spacing w:before="12"/>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628C895C"/>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333AB104"/>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721DA316"/>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43A858"/>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num w:numId="1">
    <w:abstractNumId w:val="8"/>
  </w:num>
  <w:num w:numId="2">
    <w:abstractNumId w:val="4"/>
  </w:num>
  <w:num w:numId="3">
    <w:abstractNumId w:val="5"/>
  </w:num>
  <w:num w:numId="4">
    <w:abstractNumId w:val="6"/>
  </w:num>
  <w:num w:numId="5">
    <w:abstractNumId w:val="7"/>
  </w:num>
  <w:num w:numId="6">
    <w:abstractNumId w:val="0"/>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60CA7"/>
    <w:rsid w:val="00354863"/>
    <w:rsid w:val="00402397"/>
    <w:rsid w:val="00534153"/>
    <w:rsid w:val="00622D06"/>
    <w:rsid w:val="006628B7"/>
    <w:rsid w:val="00680C6B"/>
    <w:rsid w:val="00860CA7"/>
    <w:rsid w:val="009321D8"/>
    <w:rsid w:val="00CE33AD"/>
    <w:rsid w:val="00E2063E"/>
    <w:rsid w:val="00E35230"/>
    <w:rsid w:val="00E64F3E"/>
    <w:rsid w:val="00EE218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0CA7"/>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60CA7"/>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60CA7"/>
    <w:rPr>
      <w:sz w:val="23"/>
      <w:szCs w:val="23"/>
    </w:rPr>
  </w:style>
  <w:style w:type="character" w:customStyle="1" w:styleId="GvdeMetniChar">
    <w:name w:val="Gövde Metni Char"/>
    <w:basedOn w:val="VarsaylanParagrafYazTipi"/>
    <w:link w:val="GvdeMetni"/>
    <w:uiPriority w:val="1"/>
    <w:rsid w:val="00860CA7"/>
    <w:rPr>
      <w:rFonts w:ascii="Arial" w:eastAsia="Arial" w:hAnsi="Arial" w:cs="Arial"/>
      <w:sz w:val="23"/>
      <w:szCs w:val="23"/>
      <w:lang w:val="en-US"/>
    </w:rPr>
  </w:style>
  <w:style w:type="paragraph" w:customStyle="1" w:styleId="Heading1">
    <w:name w:val="Heading 1"/>
    <w:basedOn w:val="Normal"/>
    <w:uiPriority w:val="1"/>
    <w:qFormat/>
    <w:rsid w:val="00860CA7"/>
    <w:pPr>
      <w:spacing w:line="1067" w:lineRule="exact"/>
      <w:ind w:left="333"/>
      <w:outlineLvl w:val="1"/>
    </w:pPr>
    <w:rPr>
      <w:sz w:val="110"/>
      <w:szCs w:val="110"/>
    </w:rPr>
  </w:style>
  <w:style w:type="paragraph" w:customStyle="1" w:styleId="Heading2">
    <w:name w:val="Heading 2"/>
    <w:basedOn w:val="Normal"/>
    <w:uiPriority w:val="1"/>
    <w:qFormat/>
    <w:rsid w:val="00860CA7"/>
    <w:pPr>
      <w:spacing w:line="444" w:lineRule="exact"/>
      <w:ind w:left="1301" w:right="2251"/>
      <w:jc w:val="center"/>
      <w:outlineLvl w:val="2"/>
    </w:pPr>
    <w:rPr>
      <w:sz w:val="40"/>
      <w:szCs w:val="40"/>
    </w:rPr>
  </w:style>
  <w:style w:type="paragraph" w:customStyle="1" w:styleId="Heading3">
    <w:name w:val="Heading 3"/>
    <w:basedOn w:val="Normal"/>
    <w:uiPriority w:val="1"/>
    <w:qFormat/>
    <w:rsid w:val="00860CA7"/>
    <w:pPr>
      <w:spacing w:before="10"/>
      <w:outlineLvl w:val="3"/>
    </w:pPr>
    <w:rPr>
      <w:sz w:val="25"/>
      <w:szCs w:val="25"/>
    </w:rPr>
  </w:style>
  <w:style w:type="paragraph" w:customStyle="1" w:styleId="Heading4">
    <w:name w:val="Heading 4"/>
    <w:basedOn w:val="Normal"/>
    <w:uiPriority w:val="1"/>
    <w:qFormat/>
    <w:rsid w:val="00860CA7"/>
    <w:pPr>
      <w:ind w:left="105"/>
      <w:outlineLvl w:val="4"/>
    </w:pPr>
    <w:rPr>
      <w:sz w:val="24"/>
      <w:szCs w:val="24"/>
    </w:rPr>
  </w:style>
  <w:style w:type="paragraph" w:styleId="KonuBal">
    <w:name w:val="Title"/>
    <w:basedOn w:val="Normal"/>
    <w:link w:val="KonuBalChar"/>
    <w:uiPriority w:val="1"/>
    <w:qFormat/>
    <w:rsid w:val="00860CA7"/>
    <w:pPr>
      <w:spacing w:line="1287" w:lineRule="exact"/>
      <w:ind w:left="1471"/>
    </w:pPr>
    <w:rPr>
      <w:sz w:val="123"/>
      <w:szCs w:val="123"/>
    </w:rPr>
  </w:style>
  <w:style w:type="character" w:customStyle="1" w:styleId="KonuBalChar">
    <w:name w:val="Konu Başlığı Char"/>
    <w:basedOn w:val="VarsaylanParagrafYazTipi"/>
    <w:link w:val="KonuBal"/>
    <w:uiPriority w:val="1"/>
    <w:rsid w:val="00860CA7"/>
    <w:rPr>
      <w:rFonts w:ascii="Arial" w:eastAsia="Arial" w:hAnsi="Arial" w:cs="Arial"/>
      <w:sz w:val="123"/>
      <w:szCs w:val="123"/>
      <w:lang w:val="en-US"/>
    </w:rPr>
  </w:style>
  <w:style w:type="paragraph" w:styleId="ListeParagraf">
    <w:name w:val="List Paragraph"/>
    <w:basedOn w:val="Normal"/>
    <w:uiPriority w:val="1"/>
    <w:qFormat/>
    <w:rsid w:val="00860CA7"/>
    <w:pPr>
      <w:spacing w:before="191"/>
      <w:ind w:left="726" w:hanging="708"/>
    </w:pPr>
  </w:style>
  <w:style w:type="paragraph" w:customStyle="1" w:styleId="TableParagraph">
    <w:name w:val="Table Paragraph"/>
    <w:basedOn w:val="Normal"/>
    <w:uiPriority w:val="1"/>
    <w:qFormat/>
    <w:rsid w:val="00860CA7"/>
  </w:style>
  <w:style w:type="paragraph" w:styleId="BalonMetni">
    <w:name w:val="Balloon Text"/>
    <w:basedOn w:val="Normal"/>
    <w:link w:val="BalonMetniChar"/>
    <w:uiPriority w:val="99"/>
    <w:semiHidden/>
    <w:unhideWhenUsed/>
    <w:rsid w:val="00860CA7"/>
    <w:rPr>
      <w:rFonts w:ascii="Tahoma" w:hAnsi="Tahoma" w:cs="Tahoma"/>
      <w:sz w:val="16"/>
      <w:szCs w:val="16"/>
    </w:rPr>
  </w:style>
  <w:style w:type="character" w:customStyle="1" w:styleId="BalonMetniChar">
    <w:name w:val="Balon Metni Char"/>
    <w:basedOn w:val="VarsaylanParagrafYazTipi"/>
    <w:link w:val="BalonMetni"/>
    <w:uiPriority w:val="99"/>
    <w:semiHidden/>
    <w:rsid w:val="00860CA7"/>
    <w:rPr>
      <w:rFonts w:ascii="Tahoma" w:eastAsia="Arial" w:hAnsi="Tahoma" w:cs="Tahoma"/>
      <w:sz w:val="16"/>
      <w:szCs w:val="16"/>
      <w:lang w:val="en-US"/>
    </w:rPr>
  </w:style>
  <w:style w:type="paragraph" w:styleId="stbilgi">
    <w:name w:val="header"/>
    <w:basedOn w:val="Normal"/>
    <w:link w:val="stbilgiChar"/>
    <w:uiPriority w:val="99"/>
    <w:semiHidden/>
    <w:unhideWhenUsed/>
    <w:rsid w:val="00860CA7"/>
    <w:pPr>
      <w:tabs>
        <w:tab w:val="center" w:pos="4536"/>
        <w:tab w:val="right" w:pos="9072"/>
      </w:tabs>
    </w:pPr>
  </w:style>
  <w:style w:type="character" w:customStyle="1" w:styleId="stbilgiChar">
    <w:name w:val="Üstbilgi Char"/>
    <w:basedOn w:val="VarsaylanParagrafYazTipi"/>
    <w:link w:val="stbilgi"/>
    <w:uiPriority w:val="99"/>
    <w:semiHidden/>
    <w:rsid w:val="00860CA7"/>
    <w:rPr>
      <w:rFonts w:ascii="Arial" w:eastAsia="Arial" w:hAnsi="Arial" w:cs="Arial"/>
      <w:sz w:val="22"/>
      <w:szCs w:val="22"/>
      <w:lang w:val="en-US"/>
    </w:rPr>
  </w:style>
  <w:style w:type="paragraph" w:styleId="Altbilgi">
    <w:name w:val="footer"/>
    <w:basedOn w:val="Normal"/>
    <w:link w:val="AltbilgiChar"/>
    <w:uiPriority w:val="99"/>
    <w:semiHidden/>
    <w:unhideWhenUsed/>
    <w:rsid w:val="00860CA7"/>
    <w:pPr>
      <w:tabs>
        <w:tab w:val="center" w:pos="4536"/>
        <w:tab w:val="right" w:pos="9072"/>
      </w:tabs>
    </w:pPr>
  </w:style>
  <w:style w:type="character" w:customStyle="1" w:styleId="AltbilgiChar">
    <w:name w:val="Altbilgi Char"/>
    <w:basedOn w:val="VarsaylanParagrafYazTipi"/>
    <w:link w:val="Altbilgi"/>
    <w:uiPriority w:val="99"/>
    <w:semiHidden/>
    <w:rsid w:val="00860CA7"/>
    <w:rPr>
      <w:rFonts w:ascii="Arial" w:eastAsia="Arial" w:hAnsi="Arial" w:cs="Arial"/>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2020-07-17T15:58:00Z</dcterms:created>
  <dcterms:modified xsi:type="dcterms:W3CDTF">2020-07-18T00:02:00Z</dcterms:modified>
</cp:coreProperties>
</file>