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B3D" w:rsidRDefault="00FF0B3D" w:rsidP="00FF0B3D">
      <w:pPr>
        <w:spacing w:line="288" w:lineRule="auto"/>
        <w:ind w:firstLine="284"/>
        <w:jc w:val="both"/>
        <w:rPr>
          <w:rFonts w:ascii="Times New Roman" w:eastAsia="Times New Roman" w:hAnsi="Times New Roman"/>
          <w:sz w:val="21"/>
        </w:rPr>
      </w:pPr>
      <w:r>
        <w:rPr>
          <w:rFonts w:ascii="Times New Roman" w:eastAsia="Times New Roman" w:hAnsi="Times New Roman"/>
          <w:sz w:val="21"/>
        </w:rPr>
        <w:t>Bey’ kavramının fıkıh literatüründeki anlamı da bu doğrultudadır. Nitekim bey’, “bir malın başka bir mal ile karşılıklı rızayla mübadele edilmesi”</w:t>
      </w:r>
      <w:r>
        <w:rPr>
          <w:rFonts w:ascii="Times New Roman" w:eastAsia="Times New Roman" w:hAnsi="Times New Roman"/>
          <w:sz w:val="12"/>
        </w:rPr>
        <w:t>27</w:t>
      </w:r>
      <w:r>
        <w:rPr>
          <w:rFonts w:ascii="Times New Roman" w:eastAsia="Times New Roman" w:hAnsi="Times New Roman"/>
          <w:sz w:val="21"/>
        </w:rPr>
        <w:t xml:space="preserve"> şek-linde tanımlanmıştır. Bu da göstermektedir ki; Hz. Peygamber dönemindeki ticârî faaliyet, “mübadele/trampa” esasına dayanmaktadır. Bey’in bu anlamda kullanılması, o dönemde hakim olan para sistemi hakkında önemli bir bilgi vermektedir. Bu dönemde hakim olan para sistemi, “malla malın değişimi” olan trampa sistemidir. Bununla birlikte rivayetlere baktığımızda trampa sis-temi yanında, trampa sisteminden sonraki aşama olan “mal-para sistemi”nin de bu dönemde cari olduğunu görmekteyiz. Başka bir deyişle, belirli mallar yukarıda belirtilen özelliklerinden dolayı “mal” olmanın yanında birer “para birimi” olarak da kullanılmaktaydı. Esnâf-ı sitte hadisinde zikredilen altın, gümüş, buğday, arpa, kuru hurma ve tuzun, mal-para özelliklerini tamamen taşıdığı görülmektedir. Bu altı sınıf mal, mal-paranın taşıması gereken tüm özellikleri taşımaktadır. Nitekim bu mallar;</w:t>
      </w:r>
    </w:p>
    <w:p w:rsidR="00FF0B3D" w:rsidRDefault="00FF0B3D" w:rsidP="00FF0B3D">
      <w:pPr>
        <w:spacing w:line="3" w:lineRule="exact"/>
        <w:rPr>
          <w:rFonts w:ascii="Times New Roman" w:eastAsia="Times New Roman" w:hAnsi="Times New Roman"/>
        </w:rPr>
      </w:pPr>
    </w:p>
    <w:p w:rsidR="00FF0B3D" w:rsidRDefault="00FF0B3D" w:rsidP="00FF0B3D">
      <w:pPr>
        <w:widowControl/>
        <w:numPr>
          <w:ilvl w:val="0"/>
          <w:numId w:val="4"/>
        </w:numPr>
        <w:tabs>
          <w:tab w:val="left" w:pos="580"/>
        </w:tabs>
        <w:autoSpaceDE/>
        <w:autoSpaceDN/>
        <w:spacing w:line="0" w:lineRule="atLeast"/>
        <w:ind w:left="580" w:hanging="293"/>
        <w:rPr>
          <w:rFonts w:ascii="Times New Roman" w:eastAsia="Times New Roman" w:hAnsi="Times New Roman"/>
        </w:rPr>
      </w:pPr>
      <w:r>
        <w:rPr>
          <w:rFonts w:ascii="Times New Roman" w:eastAsia="Times New Roman" w:hAnsi="Times New Roman"/>
        </w:rPr>
        <w:t>Mal olma fonksiyonu yanında değişim aracı olarak kullanılmıştır</w:t>
      </w:r>
    </w:p>
    <w:p w:rsidR="00FF0B3D" w:rsidRDefault="00FF0B3D" w:rsidP="00FF0B3D">
      <w:pPr>
        <w:spacing w:line="37" w:lineRule="exact"/>
        <w:rPr>
          <w:rFonts w:ascii="Times New Roman" w:eastAsia="Times New Roman" w:hAnsi="Times New Roman"/>
        </w:rPr>
      </w:pPr>
    </w:p>
    <w:p w:rsidR="00FF0B3D" w:rsidRDefault="00FF0B3D" w:rsidP="00FF0B3D">
      <w:pPr>
        <w:widowControl/>
        <w:numPr>
          <w:ilvl w:val="0"/>
          <w:numId w:val="4"/>
        </w:numPr>
        <w:tabs>
          <w:tab w:val="left" w:pos="580"/>
        </w:tabs>
        <w:autoSpaceDE/>
        <w:autoSpaceDN/>
        <w:spacing w:line="0" w:lineRule="atLeast"/>
        <w:ind w:left="580" w:hanging="293"/>
        <w:rPr>
          <w:rFonts w:ascii="Times New Roman" w:eastAsia="Times New Roman" w:hAnsi="Times New Roman"/>
        </w:rPr>
      </w:pPr>
      <w:r>
        <w:rPr>
          <w:rFonts w:ascii="Times New Roman" w:eastAsia="Times New Roman" w:hAnsi="Times New Roman"/>
        </w:rPr>
        <w:t>Ortak bir değer ölçüsüdür.</w:t>
      </w:r>
    </w:p>
    <w:p w:rsidR="00FF0B3D" w:rsidRDefault="00FF0B3D" w:rsidP="00FF0B3D">
      <w:pPr>
        <w:spacing w:line="37" w:lineRule="exact"/>
        <w:rPr>
          <w:rFonts w:ascii="Times New Roman" w:eastAsia="Times New Roman" w:hAnsi="Times New Roman"/>
        </w:rPr>
      </w:pPr>
    </w:p>
    <w:p w:rsidR="00FF0B3D" w:rsidRDefault="00FF0B3D" w:rsidP="00FF0B3D">
      <w:pPr>
        <w:widowControl/>
        <w:numPr>
          <w:ilvl w:val="0"/>
          <w:numId w:val="4"/>
        </w:numPr>
        <w:tabs>
          <w:tab w:val="left" w:pos="580"/>
        </w:tabs>
        <w:autoSpaceDE/>
        <w:autoSpaceDN/>
        <w:spacing w:line="275" w:lineRule="auto"/>
        <w:ind w:left="580" w:hanging="293"/>
        <w:rPr>
          <w:rFonts w:ascii="Times New Roman" w:eastAsia="Times New Roman" w:hAnsi="Times New Roman"/>
        </w:rPr>
      </w:pPr>
      <w:r>
        <w:rPr>
          <w:rFonts w:ascii="Times New Roman" w:eastAsia="Times New Roman" w:hAnsi="Times New Roman"/>
        </w:rPr>
        <w:t>Birikim ve borçlanma aracı olarak kullanılmıştır. Nitekim zekat ve fıtır sadakalarının bu mallar üzerinden ödenmesi öngörülmüştür.</w:t>
      </w:r>
    </w:p>
    <w:p w:rsidR="00FF0B3D" w:rsidRDefault="00FF0B3D" w:rsidP="00FF0B3D">
      <w:pPr>
        <w:widowControl/>
        <w:numPr>
          <w:ilvl w:val="0"/>
          <w:numId w:val="4"/>
        </w:numPr>
        <w:tabs>
          <w:tab w:val="left" w:pos="580"/>
        </w:tabs>
        <w:autoSpaceDE/>
        <w:autoSpaceDN/>
        <w:spacing w:line="290" w:lineRule="auto"/>
        <w:ind w:left="580" w:hanging="293"/>
        <w:jc w:val="both"/>
        <w:rPr>
          <w:rFonts w:ascii="Times New Roman" w:eastAsia="Times New Roman" w:hAnsi="Times New Roman"/>
        </w:rPr>
      </w:pPr>
      <w:r>
        <w:rPr>
          <w:rFonts w:ascii="Times New Roman" w:eastAsia="Times New Roman" w:hAnsi="Times New Roman"/>
        </w:rPr>
        <w:t>Bir değere ve faydaya sahiptir. Başka bir deyişle, sırf simgesel/temsilî para hüviyetine sahip değildir. Mal olmaktan kaynaklanan zâti kıymet-leri vardır.</w:t>
      </w:r>
    </w:p>
    <w:p w:rsidR="00FF0B3D" w:rsidRDefault="00FF0B3D" w:rsidP="00FF0B3D">
      <w:pPr>
        <w:spacing w:line="20" w:lineRule="exact"/>
        <w:rPr>
          <w:rFonts w:ascii="Times New Roman" w:eastAsia="Times New Roman" w:hAnsi="Times New Roman"/>
        </w:rPr>
      </w:pPr>
      <w:r>
        <w:rPr>
          <w:rFonts w:ascii="Times New Roman" w:eastAsia="Times New Roman" w:hAnsi="Times New Roman"/>
        </w:rPr>
        <w:pict>
          <v:line id="_x0000_s1026" style="position:absolute;z-index:-251656192" from=".15pt,9.45pt" to="141.9pt,9.45pt" o:userdrawn="t" strokeweight=".25pt"/>
        </w:pict>
      </w:r>
    </w:p>
    <w:p w:rsidR="00FF0B3D" w:rsidRDefault="00FF0B3D" w:rsidP="00FF0B3D">
      <w:pPr>
        <w:spacing w:line="201" w:lineRule="exact"/>
        <w:rPr>
          <w:rFonts w:ascii="Times New Roman" w:eastAsia="Times New Roman" w:hAnsi="Times New Roman"/>
        </w:rPr>
      </w:pPr>
    </w:p>
    <w:p w:rsidR="00FF0B3D" w:rsidRDefault="00FF0B3D" w:rsidP="00FF0B3D">
      <w:pPr>
        <w:spacing w:line="250" w:lineRule="auto"/>
        <w:ind w:left="240" w:hanging="226"/>
        <w:jc w:val="both"/>
        <w:rPr>
          <w:rFonts w:ascii="Times New Roman" w:eastAsia="Times New Roman" w:hAnsi="Times New Roman"/>
          <w:sz w:val="16"/>
        </w:rPr>
      </w:pPr>
      <w:r>
        <w:rPr>
          <w:rFonts w:ascii="Times New Roman" w:eastAsia="Times New Roman" w:hAnsi="Times New Roman"/>
          <w:sz w:val="16"/>
        </w:rPr>
        <w:t>25 “</w:t>
      </w:r>
      <w:r>
        <w:rPr>
          <w:sz w:val="16"/>
        </w:rPr>
        <w:t>ناويحلاب ناويحلا عيب</w:t>
      </w:r>
      <w:r>
        <w:rPr>
          <w:rFonts w:ascii="Times New Roman" w:eastAsia="Times New Roman" w:hAnsi="Times New Roman"/>
          <w:sz w:val="16"/>
        </w:rPr>
        <w:t>” Bkz: Müslim, Müsâkât, 23; Ebû Dâvud, Buyû, 15;Tirmizî, Buyû’, 21; İbn Mâce, Kefârât, 56.</w:t>
      </w:r>
    </w:p>
    <w:p w:rsidR="00FF0B3D" w:rsidRDefault="00FF0B3D" w:rsidP="00FF0B3D">
      <w:pPr>
        <w:spacing w:line="254" w:lineRule="auto"/>
        <w:ind w:left="240" w:hanging="226"/>
        <w:jc w:val="both"/>
        <w:rPr>
          <w:rFonts w:ascii="Times New Roman" w:eastAsia="Times New Roman" w:hAnsi="Times New Roman"/>
          <w:sz w:val="16"/>
        </w:rPr>
      </w:pPr>
      <w:r>
        <w:rPr>
          <w:rFonts w:ascii="Times New Roman" w:eastAsia="Times New Roman" w:hAnsi="Times New Roman"/>
          <w:sz w:val="16"/>
        </w:rPr>
        <w:t>26 “</w:t>
      </w:r>
      <w:r>
        <w:rPr>
          <w:sz w:val="16"/>
        </w:rPr>
        <w:t>ةرعبأ ةعبرابٔ ةلحار رمع نبا ىرتشاو</w:t>
      </w:r>
      <w:r>
        <w:rPr>
          <w:rFonts w:ascii="Times New Roman" w:eastAsia="Times New Roman" w:hAnsi="Times New Roman"/>
          <w:sz w:val="16"/>
        </w:rPr>
        <w:t>” Buharî, Buyû’ 107; Benzer bir ifade olarak “</w:t>
      </w:r>
      <w:r>
        <w:rPr>
          <w:sz w:val="16"/>
        </w:rPr>
        <w:t>نيريعبب اريعب يلع عاب</w:t>
      </w:r>
      <w:r>
        <w:rPr>
          <w:rFonts w:ascii="Times New Roman" w:eastAsia="Times New Roman" w:hAnsi="Times New Roman"/>
          <w:sz w:val="16"/>
        </w:rPr>
        <w:t xml:space="preserve">” Bkz: Ebû Bekr Abdullah b. Muhammed b. Ebî Şeybe, </w:t>
      </w:r>
      <w:r>
        <w:rPr>
          <w:rFonts w:ascii="Times New Roman" w:eastAsia="Times New Roman" w:hAnsi="Times New Roman"/>
          <w:i/>
          <w:sz w:val="16"/>
        </w:rPr>
        <w:t>el-Musannef</w:t>
      </w:r>
      <w:r>
        <w:rPr>
          <w:rFonts w:ascii="Times New Roman" w:eastAsia="Times New Roman" w:hAnsi="Times New Roman"/>
          <w:sz w:val="16"/>
        </w:rPr>
        <w:t>, ed-Dâru’s-Selefiyye, Hindistân (t.y.) VI/113; aynı şekilde deve ile küçükbaş hayvanın mübadelesi de bey’ lafzı ile ifade edilmiştir: “</w:t>
      </w:r>
      <w:r>
        <w:rPr>
          <w:sz w:val="16"/>
        </w:rPr>
        <w:t>منغب اريعب عاب لجر</w:t>
      </w:r>
      <w:r>
        <w:rPr>
          <w:rFonts w:ascii="Times New Roman" w:eastAsia="Times New Roman" w:hAnsi="Times New Roman"/>
          <w:sz w:val="16"/>
        </w:rPr>
        <w:t xml:space="preserve">” Bkz: Ebû Bekr Abdurrezzâk b. Hemmâm es-San’ânî, </w:t>
      </w:r>
      <w:r>
        <w:rPr>
          <w:rFonts w:ascii="Times New Roman" w:eastAsia="Times New Roman" w:hAnsi="Times New Roman"/>
          <w:i/>
          <w:sz w:val="16"/>
        </w:rPr>
        <w:t>el-Musannef</w:t>
      </w:r>
      <w:r>
        <w:rPr>
          <w:rFonts w:ascii="Times New Roman" w:eastAsia="Times New Roman" w:hAnsi="Times New Roman"/>
          <w:sz w:val="16"/>
        </w:rPr>
        <w:t>, el-Mektebü’l-İslâmî, Beyrût 1403h., Hadis no: 14135, VIII/20.</w:t>
      </w:r>
    </w:p>
    <w:p w:rsidR="00FF0B3D" w:rsidRDefault="00FF0B3D" w:rsidP="00FF0B3D">
      <w:pPr>
        <w:spacing w:line="1" w:lineRule="exact"/>
        <w:rPr>
          <w:rFonts w:ascii="Times New Roman" w:eastAsia="Times New Roman" w:hAnsi="Times New Roman"/>
        </w:rPr>
      </w:pPr>
    </w:p>
    <w:p w:rsidR="00FF0B3D" w:rsidRDefault="00FF0B3D" w:rsidP="00FF0B3D">
      <w:pPr>
        <w:spacing w:line="0" w:lineRule="atLeast"/>
        <w:rPr>
          <w:rFonts w:ascii="Times New Roman" w:eastAsia="Times New Roman" w:hAnsi="Times New Roman"/>
          <w:sz w:val="16"/>
        </w:rPr>
      </w:pPr>
      <w:r>
        <w:rPr>
          <w:rFonts w:ascii="Times New Roman" w:eastAsia="Times New Roman" w:hAnsi="Times New Roman"/>
          <w:sz w:val="16"/>
        </w:rPr>
        <w:t xml:space="preserve">27 Ebû  Muhammed  Abdullah  b.  Ahmed  b.  Kudâme  el-Makdisî,  </w:t>
      </w:r>
      <w:r>
        <w:rPr>
          <w:rFonts w:ascii="Times New Roman" w:eastAsia="Times New Roman" w:hAnsi="Times New Roman"/>
          <w:i/>
          <w:sz w:val="16"/>
        </w:rPr>
        <w:t>el-Muğnî</w:t>
      </w:r>
      <w:r>
        <w:rPr>
          <w:rFonts w:ascii="Times New Roman" w:eastAsia="Times New Roman" w:hAnsi="Times New Roman"/>
          <w:sz w:val="16"/>
        </w:rPr>
        <w:t>,  Dâru’l-Fikr,  Beyrût</w:t>
      </w:r>
    </w:p>
    <w:p w:rsidR="00FF0B3D" w:rsidRDefault="00FF0B3D" w:rsidP="00FF0B3D">
      <w:pPr>
        <w:spacing w:line="8" w:lineRule="exact"/>
        <w:rPr>
          <w:rFonts w:ascii="Times New Roman" w:eastAsia="Times New Roman" w:hAnsi="Times New Roman"/>
        </w:rPr>
      </w:pPr>
    </w:p>
    <w:p w:rsidR="00FF0B3D" w:rsidRDefault="00FF0B3D" w:rsidP="00FF0B3D">
      <w:pPr>
        <w:spacing w:line="0" w:lineRule="atLeast"/>
        <w:ind w:left="240"/>
        <w:rPr>
          <w:rFonts w:ascii="Times New Roman" w:eastAsia="Times New Roman" w:hAnsi="Times New Roman"/>
          <w:sz w:val="16"/>
        </w:rPr>
      </w:pPr>
      <w:r>
        <w:rPr>
          <w:rFonts w:ascii="Times New Roman" w:eastAsia="Times New Roman" w:hAnsi="Times New Roman"/>
          <w:sz w:val="16"/>
        </w:rPr>
        <w:t xml:space="preserve">1405h., IV/3; Mansûr b. Yûnus b. İdris el-Behûtî, </w:t>
      </w:r>
      <w:r>
        <w:rPr>
          <w:rFonts w:ascii="Times New Roman" w:eastAsia="Times New Roman" w:hAnsi="Times New Roman"/>
          <w:i/>
          <w:sz w:val="16"/>
        </w:rPr>
        <w:t>Kişâfu’l-Kınâ an Metni’l-İknâ</w:t>
      </w:r>
      <w:r>
        <w:rPr>
          <w:rFonts w:ascii="Times New Roman" w:eastAsia="Times New Roman" w:hAnsi="Times New Roman"/>
          <w:sz w:val="16"/>
        </w:rPr>
        <w:t>, Dâru’l-Fikr, Beyrût</w:t>
      </w:r>
    </w:p>
    <w:p w:rsidR="00FF0B3D" w:rsidRDefault="00FF0B3D" w:rsidP="00FF0B3D">
      <w:pPr>
        <w:spacing w:line="8" w:lineRule="exact"/>
        <w:rPr>
          <w:rFonts w:ascii="Times New Roman" w:eastAsia="Times New Roman" w:hAnsi="Times New Roman"/>
        </w:rPr>
      </w:pPr>
    </w:p>
    <w:p w:rsidR="00FF0B3D" w:rsidRDefault="00FF0B3D" w:rsidP="00FF0B3D">
      <w:pPr>
        <w:spacing w:line="253" w:lineRule="auto"/>
        <w:ind w:left="240"/>
        <w:jc w:val="both"/>
        <w:rPr>
          <w:rFonts w:ascii="Times New Roman" w:eastAsia="Times New Roman" w:hAnsi="Times New Roman"/>
          <w:sz w:val="16"/>
        </w:rPr>
      </w:pPr>
      <w:r>
        <w:rPr>
          <w:rFonts w:ascii="Times New Roman" w:eastAsia="Times New Roman" w:hAnsi="Times New Roman"/>
          <w:sz w:val="16"/>
        </w:rPr>
        <w:t xml:space="preserve">1402h., III/152; Alâuddîn el-Kâsânî, </w:t>
      </w:r>
      <w:r>
        <w:rPr>
          <w:rFonts w:ascii="Times New Roman" w:eastAsia="Times New Roman" w:hAnsi="Times New Roman"/>
          <w:i/>
          <w:sz w:val="16"/>
        </w:rPr>
        <w:t>Bedâiu’s-Sanâi’ fî Tertîbi’ş-Şerâi’</w:t>
      </w:r>
      <w:r>
        <w:rPr>
          <w:rFonts w:ascii="Times New Roman" w:eastAsia="Times New Roman" w:hAnsi="Times New Roman"/>
          <w:sz w:val="16"/>
        </w:rPr>
        <w:t xml:space="preserve">, Dâru’l-Kitâbi’l-Arabî, (b.y.) 1982, V/299; İbn Nüceym, V/277; Alâuddîn el-Haskefî, </w:t>
      </w:r>
      <w:r>
        <w:rPr>
          <w:rFonts w:ascii="Times New Roman" w:eastAsia="Times New Roman" w:hAnsi="Times New Roman"/>
          <w:i/>
          <w:sz w:val="16"/>
        </w:rPr>
        <w:t>ed-Dürrü’l-Muhtâr</w:t>
      </w:r>
      <w:r>
        <w:rPr>
          <w:rFonts w:ascii="Times New Roman" w:eastAsia="Times New Roman" w:hAnsi="Times New Roman"/>
          <w:sz w:val="16"/>
        </w:rPr>
        <w:t xml:space="preserve">, Dâru’l-Fikr, Beyrût 1386h. V/52; Abdülğanî el-Ğuneymî el-Meydânî, </w:t>
      </w:r>
      <w:r>
        <w:rPr>
          <w:rFonts w:ascii="Times New Roman" w:eastAsia="Times New Roman" w:hAnsi="Times New Roman"/>
          <w:i/>
          <w:sz w:val="16"/>
        </w:rPr>
        <w:t>el-Lübâb fî</w:t>
      </w:r>
      <w:r>
        <w:rPr>
          <w:rFonts w:ascii="Times New Roman" w:eastAsia="Times New Roman" w:hAnsi="Times New Roman"/>
          <w:sz w:val="16"/>
        </w:rPr>
        <w:t xml:space="preserve"> </w:t>
      </w:r>
      <w:r>
        <w:rPr>
          <w:rFonts w:ascii="Times New Roman" w:eastAsia="Times New Roman" w:hAnsi="Times New Roman"/>
          <w:i/>
          <w:sz w:val="16"/>
        </w:rPr>
        <w:t>Şerhi’l-Kitâb</w:t>
      </w:r>
      <w:r>
        <w:rPr>
          <w:rFonts w:ascii="Times New Roman" w:eastAsia="Times New Roman" w:hAnsi="Times New Roman"/>
          <w:sz w:val="16"/>
        </w:rPr>
        <w:t>, Dâru’l-Kitâbi’l-Arabî, (b.y.), (t.y.), I/121; İbn Âbidîn, V/467.</w:t>
      </w:r>
    </w:p>
    <w:p w:rsidR="00FF0B3D" w:rsidRDefault="00FF0B3D" w:rsidP="00FF0B3D">
      <w:pPr>
        <w:spacing w:line="253" w:lineRule="auto"/>
        <w:ind w:left="240"/>
        <w:jc w:val="both"/>
        <w:rPr>
          <w:rFonts w:ascii="Times New Roman" w:eastAsia="Times New Roman" w:hAnsi="Times New Roman"/>
          <w:sz w:val="16"/>
        </w:rPr>
        <w:sectPr w:rsidR="00FF0B3D">
          <w:pgSz w:w="9240" w:h="13663"/>
          <w:pgMar w:top="1237" w:right="1141" w:bottom="684" w:left="1300" w:header="0" w:footer="0" w:gutter="0"/>
          <w:cols w:space="0" w:equalWidth="0">
            <w:col w:w="6800"/>
          </w:cols>
          <w:docGrid w:linePitch="360"/>
        </w:sectPr>
      </w:pPr>
    </w:p>
    <w:tbl>
      <w:tblPr>
        <w:tblW w:w="0" w:type="auto"/>
        <w:tblLayout w:type="fixed"/>
        <w:tblCellMar>
          <w:left w:w="0" w:type="dxa"/>
          <w:right w:w="0" w:type="dxa"/>
        </w:tblCellMar>
        <w:tblLook w:val="0000"/>
      </w:tblPr>
      <w:tblGrid>
        <w:gridCol w:w="5720"/>
        <w:gridCol w:w="1080"/>
      </w:tblGrid>
      <w:tr w:rsidR="00FF0B3D" w:rsidTr="000C5968">
        <w:trPr>
          <w:trHeight w:val="234"/>
        </w:trPr>
        <w:tc>
          <w:tcPr>
            <w:tcW w:w="5720" w:type="dxa"/>
            <w:shd w:val="clear" w:color="auto" w:fill="auto"/>
            <w:vAlign w:val="bottom"/>
          </w:tcPr>
          <w:p w:rsidR="00FF0B3D" w:rsidRDefault="00FF0B3D" w:rsidP="000C5968">
            <w:pPr>
              <w:spacing w:line="0" w:lineRule="atLeast"/>
              <w:rPr>
                <w:rFonts w:ascii="Times New Roman" w:eastAsia="Times New Roman" w:hAnsi="Times New Roman"/>
                <w:i/>
                <w:sz w:val="14"/>
              </w:rPr>
            </w:pPr>
            <w:bookmarkStart w:id="0" w:name="page9"/>
            <w:bookmarkEnd w:id="0"/>
            <w:r>
              <w:rPr>
                <w:rFonts w:ascii="Times New Roman" w:eastAsia="Times New Roman" w:hAnsi="Times New Roman"/>
                <w:i/>
                <w:sz w:val="14"/>
              </w:rPr>
              <w:lastRenderedPageBreak/>
              <w:t>Ekonomik Realite Temelinde Altı Sınıf (Esnâf-ı Sitte) Hadisi Üzerine Bir Değerlendirme</w:t>
            </w:r>
          </w:p>
        </w:tc>
        <w:tc>
          <w:tcPr>
            <w:tcW w:w="1080" w:type="dxa"/>
            <w:shd w:val="clear" w:color="auto" w:fill="auto"/>
            <w:vAlign w:val="bottom"/>
          </w:tcPr>
          <w:p w:rsidR="00FF0B3D" w:rsidRDefault="00FF0B3D" w:rsidP="000C5968">
            <w:pPr>
              <w:spacing w:line="0" w:lineRule="atLeast"/>
              <w:jc w:val="right"/>
              <w:rPr>
                <w:rFonts w:ascii="Times New Roman" w:eastAsia="Times New Roman" w:hAnsi="Times New Roman"/>
                <w:sz w:val="18"/>
              </w:rPr>
            </w:pPr>
            <w:r>
              <w:rPr>
                <w:rFonts w:ascii="Times New Roman" w:eastAsia="Times New Roman" w:hAnsi="Times New Roman"/>
                <w:sz w:val="18"/>
              </w:rPr>
              <w:t>175</w:t>
            </w:r>
          </w:p>
        </w:tc>
      </w:tr>
    </w:tbl>
    <w:p w:rsidR="00FF0B3D" w:rsidRDefault="00FF0B3D" w:rsidP="00FF0B3D">
      <w:pPr>
        <w:spacing w:line="200" w:lineRule="exact"/>
        <w:rPr>
          <w:rFonts w:ascii="Times New Roman" w:eastAsia="Times New Roman" w:hAnsi="Times New Roman"/>
        </w:rPr>
      </w:pPr>
    </w:p>
    <w:p w:rsidR="00FF0B3D" w:rsidRDefault="00FF0B3D" w:rsidP="00FF0B3D">
      <w:pPr>
        <w:spacing w:line="200" w:lineRule="exact"/>
        <w:rPr>
          <w:rFonts w:ascii="Times New Roman" w:eastAsia="Times New Roman" w:hAnsi="Times New Roman"/>
        </w:rPr>
      </w:pPr>
    </w:p>
    <w:p w:rsidR="00FF0B3D" w:rsidRDefault="00FF0B3D" w:rsidP="00FF0B3D">
      <w:pPr>
        <w:spacing w:line="204" w:lineRule="exact"/>
        <w:rPr>
          <w:rFonts w:ascii="Times New Roman" w:eastAsia="Times New Roman" w:hAnsi="Times New Roman"/>
        </w:rPr>
      </w:pPr>
    </w:p>
    <w:p w:rsidR="00FF0B3D" w:rsidRDefault="00FF0B3D" w:rsidP="00FF0B3D">
      <w:pPr>
        <w:widowControl/>
        <w:numPr>
          <w:ilvl w:val="0"/>
          <w:numId w:val="5"/>
        </w:numPr>
        <w:tabs>
          <w:tab w:val="left" w:pos="560"/>
        </w:tabs>
        <w:autoSpaceDE/>
        <w:autoSpaceDN/>
        <w:spacing w:line="0" w:lineRule="atLeast"/>
        <w:ind w:left="560" w:hanging="283"/>
        <w:rPr>
          <w:rFonts w:ascii="Times New Roman" w:eastAsia="Times New Roman" w:hAnsi="Times New Roman"/>
        </w:rPr>
      </w:pPr>
      <w:r>
        <w:rPr>
          <w:rFonts w:ascii="Times New Roman" w:eastAsia="Times New Roman" w:hAnsi="Times New Roman"/>
        </w:rPr>
        <w:t>Taşınabilir niteliktedir.</w:t>
      </w:r>
    </w:p>
    <w:p w:rsidR="00FF0B3D" w:rsidRDefault="00FF0B3D" w:rsidP="00FF0B3D">
      <w:pPr>
        <w:spacing w:line="47" w:lineRule="exact"/>
        <w:rPr>
          <w:rFonts w:ascii="Times New Roman" w:eastAsia="Times New Roman" w:hAnsi="Times New Roman"/>
        </w:rPr>
      </w:pPr>
    </w:p>
    <w:p w:rsidR="00FF0B3D" w:rsidRDefault="00FF0B3D" w:rsidP="00FF0B3D">
      <w:pPr>
        <w:widowControl/>
        <w:numPr>
          <w:ilvl w:val="0"/>
          <w:numId w:val="5"/>
        </w:numPr>
        <w:tabs>
          <w:tab w:val="left" w:pos="560"/>
        </w:tabs>
        <w:autoSpaceDE/>
        <w:autoSpaceDN/>
        <w:spacing w:line="0" w:lineRule="atLeast"/>
        <w:ind w:left="560" w:hanging="283"/>
        <w:rPr>
          <w:rFonts w:ascii="Times New Roman" w:eastAsia="Times New Roman" w:hAnsi="Times New Roman"/>
        </w:rPr>
      </w:pPr>
      <w:r>
        <w:rPr>
          <w:rFonts w:ascii="Times New Roman" w:eastAsia="Times New Roman" w:hAnsi="Times New Roman"/>
        </w:rPr>
        <w:t>Bölünebilirlik özelliğine sahiptir.</w:t>
      </w:r>
    </w:p>
    <w:p w:rsidR="00FF0B3D" w:rsidRDefault="00FF0B3D" w:rsidP="00FF0B3D">
      <w:pPr>
        <w:spacing w:line="47" w:lineRule="exact"/>
        <w:rPr>
          <w:rFonts w:ascii="Times New Roman" w:eastAsia="Times New Roman" w:hAnsi="Times New Roman"/>
        </w:rPr>
      </w:pPr>
    </w:p>
    <w:p w:rsidR="00FF0B3D" w:rsidRDefault="00FF0B3D" w:rsidP="00FF0B3D">
      <w:pPr>
        <w:widowControl/>
        <w:numPr>
          <w:ilvl w:val="0"/>
          <w:numId w:val="5"/>
        </w:numPr>
        <w:tabs>
          <w:tab w:val="left" w:pos="560"/>
        </w:tabs>
        <w:autoSpaceDE/>
        <w:autoSpaceDN/>
        <w:spacing w:line="284" w:lineRule="auto"/>
        <w:ind w:left="560" w:hanging="283"/>
        <w:jc w:val="both"/>
        <w:rPr>
          <w:rFonts w:ascii="Times New Roman" w:eastAsia="Times New Roman" w:hAnsi="Times New Roman"/>
        </w:rPr>
      </w:pPr>
      <w:r>
        <w:rPr>
          <w:rFonts w:ascii="Times New Roman" w:eastAsia="Times New Roman" w:hAnsi="Times New Roman"/>
        </w:rPr>
        <w:t>Değer istikrârına sahiptir. Mal-para olan bu malların değer istikrarı, mâli değerinden kaynaklanmaktadır. Örneğin aynı miktardaki buğday-la farklı zamanlarda yaklaşık olarak aynı miktarda ekmek yapılabilir. Başka bir deyişle belirli miktardaki bir mal, farklı zamanlarda da olsa aynı ihtiyacı karşılayabilir.</w:t>
      </w:r>
    </w:p>
    <w:p w:rsidR="00FF0B3D" w:rsidRDefault="00FF0B3D" w:rsidP="00FF0B3D">
      <w:pPr>
        <w:spacing w:line="3" w:lineRule="exact"/>
        <w:rPr>
          <w:rFonts w:ascii="Times New Roman" w:eastAsia="Times New Roman" w:hAnsi="Times New Roman"/>
        </w:rPr>
      </w:pPr>
    </w:p>
    <w:p w:rsidR="00FF0B3D" w:rsidRDefault="00FF0B3D" w:rsidP="00FF0B3D">
      <w:pPr>
        <w:spacing w:line="298" w:lineRule="auto"/>
        <w:ind w:left="560"/>
        <w:jc w:val="both"/>
        <w:rPr>
          <w:rFonts w:ascii="Times New Roman" w:eastAsia="Times New Roman" w:hAnsi="Times New Roman"/>
          <w:sz w:val="21"/>
        </w:rPr>
      </w:pPr>
      <w:r>
        <w:rPr>
          <w:rFonts w:ascii="Times New Roman" w:eastAsia="Times New Roman" w:hAnsi="Times New Roman"/>
          <w:sz w:val="21"/>
        </w:rPr>
        <w:t>Türdeştir. Para olarak kullanılacak olan malın aynı miktardaki iki par-çası türdeş olmalıdır. Bu nedenle aynı sınıf malın çeşitleri arasındaki kalite (cevdet) farkı dikkate alınmaz. Çünkü bu mallar, her ne kadar mal olarak farklı kalitede olsalar da para olarak aynı değeri ifade etmelidir. Altı sınıf mal, kendi tabiatları gereği türdeş olmadığından bu türdeşlik otorite tarafından sağlanmak durumundadır. Buna göre aynı miktardaki belirli malların birbiri ile değişiminde “kaliteye (cevdete) itibar edilme-mesi” ilkesi, söz konusu mallara parasal özellik kazandırmaya yönelik-tir. Bunu bir benzetmeyle açıklayacak olursak; günümüzde merkez ban-kası tarafından basılan iki 10 tl’nin değeri birbirine eşittir. Bu banknot-ların yapıldığı kağıtların ve kullanılan boya ve baskı tekniklerinin farklı olması ya da iki banknottan birinin ebadının diğerinden büyük olması, kuşkusuz bu iki banknotun malîyet değerlerinin farklı olması sonucunu doğuracaktır. Fakat devlet, bu paraların aynı değeri temsil edebilmesi açısından bu iki banknotun yapıldığı malzemedeki kalite farkına itibar edilmemesini öngörmektedir.</w:t>
      </w:r>
    </w:p>
    <w:p w:rsidR="00FF0B3D" w:rsidRDefault="00FF0B3D" w:rsidP="00FF0B3D">
      <w:pPr>
        <w:spacing w:line="2" w:lineRule="exact"/>
        <w:rPr>
          <w:rFonts w:ascii="Times New Roman" w:eastAsia="Times New Roman" w:hAnsi="Times New Roman"/>
        </w:rPr>
      </w:pPr>
    </w:p>
    <w:p w:rsidR="00FF0B3D" w:rsidRDefault="00FF0B3D" w:rsidP="00FF0B3D">
      <w:pPr>
        <w:spacing w:line="303" w:lineRule="auto"/>
        <w:ind w:left="560"/>
        <w:jc w:val="both"/>
        <w:rPr>
          <w:rFonts w:ascii="Times New Roman" w:eastAsia="Times New Roman" w:hAnsi="Times New Roman"/>
          <w:sz w:val="21"/>
        </w:rPr>
      </w:pPr>
      <w:r>
        <w:rPr>
          <w:rFonts w:ascii="Times New Roman" w:eastAsia="Times New Roman" w:hAnsi="Times New Roman"/>
          <w:sz w:val="21"/>
        </w:rPr>
        <w:t>İbn Kayyım, altı sınıf’ın değişimi ile ilgili hükümlerin sedd-i zerîa ba-bından olduğunu belirtmiştir.</w:t>
      </w:r>
      <w:r>
        <w:rPr>
          <w:rFonts w:ascii="Times New Roman" w:eastAsia="Times New Roman" w:hAnsi="Times New Roman"/>
          <w:sz w:val="12"/>
        </w:rPr>
        <w:t>28</w:t>
      </w:r>
      <w:r>
        <w:rPr>
          <w:rFonts w:ascii="Times New Roman" w:eastAsia="Times New Roman" w:hAnsi="Times New Roman"/>
          <w:sz w:val="21"/>
        </w:rPr>
        <w:t xml:space="preserve"> Ona göre, fazlalık ribası, nesîe ribasına yol açma ihtimali taşıdığı için haram kılınmıştır. Başka bir ifadeyle ka-liteye itibar edilmemesi, belirli sınıf bir mal-paraya standart bir nomi-nal değer kazandırmaya yöneliktir. Bu uygulamanın fıkıh kitaplarında zikredilen başka örneklerini de görmek mümkündür. Konuyu daha da netleştirmek için bu örneklerden birinden bahsetmek yerinde olacaktır: Zaman içerisinde çeşitli nedenlerle altın ve gümüş paraların eritilerek bakır gibi başka madenlerle karıştırıldığı ve adına “mağşûş” denilen</w:t>
      </w:r>
    </w:p>
    <w:p w:rsidR="00FF0B3D" w:rsidRDefault="00FF0B3D" w:rsidP="00FF0B3D">
      <w:pPr>
        <w:spacing w:line="20" w:lineRule="exact"/>
        <w:rPr>
          <w:rFonts w:ascii="Times New Roman" w:eastAsia="Times New Roman" w:hAnsi="Times New Roman"/>
        </w:rPr>
      </w:pPr>
      <w:r>
        <w:rPr>
          <w:rFonts w:ascii="Times New Roman" w:eastAsia="Times New Roman" w:hAnsi="Times New Roman"/>
          <w:sz w:val="21"/>
        </w:rPr>
        <w:pict>
          <v:line id="_x0000_s1027" style="position:absolute;z-index:-251655168" from="-.3pt,12.2pt" to="141.4pt,12.2pt" o:userdrawn="t" strokeweight=".25pt"/>
        </w:pict>
      </w:r>
    </w:p>
    <w:p w:rsidR="00FF0B3D" w:rsidRDefault="00FF0B3D" w:rsidP="00FF0B3D">
      <w:pPr>
        <w:spacing w:line="20" w:lineRule="exact"/>
        <w:rPr>
          <w:rFonts w:ascii="Times New Roman" w:eastAsia="Times New Roman" w:hAnsi="Times New Roman"/>
        </w:rPr>
        <w:sectPr w:rsidR="00FF0B3D">
          <w:pgSz w:w="9240" w:h="13663"/>
          <w:pgMar w:top="1248" w:right="1301" w:bottom="885" w:left="1140" w:header="0" w:footer="0" w:gutter="0"/>
          <w:cols w:space="0" w:equalWidth="0">
            <w:col w:w="6800"/>
          </w:cols>
          <w:docGrid w:linePitch="360"/>
        </w:sectPr>
      </w:pPr>
    </w:p>
    <w:p w:rsidR="00FF0B3D" w:rsidRDefault="00FF0B3D" w:rsidP="00FF0B3D">
      <w:pPr>
        <w:spacing w:line="274" w:lineRule="exact"/>
        <w:rPr>
          <w:rFonts w:ascii="Times New Roman" w:eastAsia="Times New Roman" w:hAnsi="Times New Roman"/>
        </w:rPr>
      </w:pPr>
    </w:p>
    <w:p w:rsidR="00FF0B3D" w:rsidRDefault="00FF0B3D" w:rsidP="00FF0B3D">
      <w:pPr>
        <w:spacing w:line="262" w:lineRule="auto"/>
        <w:ind w:left="220" w:hanging="226"/>
        <w:rPr>
          <w:rFonts w:ascii="Times New Roman" w:eastAsia="Times New Roman" w:hAnsi="Times New Roman"/>
          <w:sz w:val="16"/>
        </w:rPr>
      </w:pPr>
      <w:r>
        <w:rPr>
          <w:rFonts w:ascii="Times New Roman" w:eastAsia="Times New Roman" w:hAnsi="Times New Roman"/>
          <w:sz w:val="16"/>
        </w:rPr>
        <w:t>28 Muhammed</w:t>
      </w:r>
      <w:r>
        <w:rPr>
          <w:rFonts w:ascii="Times New Roman" w:eastAsia="Times New Roman" w:hAnsi="Times New Roman"/>
        </w:rPr>
        <w:t xml:space="preserve"> </w:t>
      </w:r>
      <w:r>
        <w:rPr>
          <w:rFonts w:ascii="Times New Roman" w:eastAsia="Times New Roman" w:hAnsi="Times New Roman"/>
          <w:sz w:val="16"/>
        </w:rPr>
        <w:t xml:space="preserve">b. Ebî Bekr Eyyûb İbn Kayyım el-Cevziyye, </w:t>
      </w:r>
      <w:r>
        <w:rPr>
          <w:rFonts w:ascii="Times New Roman" w:eastAsia="Times New Roman" w:hAnsi="Times New Roman"/>
          <w:i/>
          <w:sz w:val="16"/>
        </w:rPr>
        <w:t>İ’lâmu’l-Muvakkıîn</w:t>
      </w:r>
      <w:r>
        <w:rPr>
          <w:rFonts w:ascii="Times New Roman" w:eastAsia="Times New Roman" w:hAnsi="Times New Roman"/>
          <w:sz w:val="16"/>
        </w:rPr>
        <w:t>, Dâru’l-Cîl, Beyrût 1973, II/155.</w:t>
      </w:r>
    </w:p>
    <w:p w:rsidR="00FF0B3D" w:rsidRDefault="00FF0B3D" w:rsidP="00FF0B3D">
      <w:pPr>
        <w:spacing w:line="262" w:lineRule="auto"/>
        <w:ind w:left="220" w:hanging="226"/>
        <w:rPr>
          <w:rFonts w:ascii="Times New Roman" w:eastAsia="Times New Roman" w:hAnsi="Times New Roman"/>
          <w:sz w:val="16"/>
        </w:rPr>
        <w:sectPr w:rsidR="00FF0B3D">
          <w:type w:val="continuous"/>
          <w:pgSz w:w="9240" w:h="13663"/>
          <w:pgMar w:top="1248" w:right="1301" w:bottom="885" w:left="1140" w:header="0" w:footer="0" w:gutter="0"/>
          <w:cols w:space="0" w:equalWidth="0">
            <w:col w:w="6800"/>
          </w:cols>
          <w:docGrid w:linePitch="360"/>
        </w:sectPr>
      </w:pPr>
    </w:p>
    <w:p w:rsidR="00FF0B3D" w:rsidRDefault="00FF0B3D" w:rsidP="00FF0B3D">
      <w:pPr>
        <w:tabs>
          <w:tab w:val="left" w:pos="5840"/>
        </w:tabs>
        <w:spacing w:line="0" w:lineRule="atLeast"/>
        <w:rPr>
          <w:rFonts w:ascii="Times New Roman" w:eastAsia="Times New Roman" w:hAnsi="Times New Roman"/>
          <w:i/>
          <w:sz w:val="13"/>
        </w:rPr>
      </w:pPr>
      <w:bookmarkStart w:id="1" w:name="page10"/>
      <w:bookmarkEnd w:id="1"/>
      <w:r>
        <w:rPr>
          <w:rFonts w:ascii="Times New Roman" w:eastAsia="Times New Roman" w:hAnsi="Times New Roman"/>
          <w:sz w:val="17"/>
        </w:rPr>
        <w:lastRenderedPageBreak/>
        <w:t>176</w:t>
      </w:r>
      <w:r>
        <w:rPr>
          <w:rFonts w:ascii="Times New Roman" w:eastAsia="Times New Roman" w:hAnsi="Times New Roman"/>
        </w:rPr>
        <w:tab/>
      </w:r>
      <w:r>
        <w:rPr>
          <w:rFonts w:ascii="Times New Roman" w:eastAsia="Times New Roman" w:hAnsi="Times New Roman"/>
          <w:i/>
          <w:sz w:val="13"/>
        </w:rPr>
        <w:t>OĞUZHAN TAN</w:t>
      </w:r>
    </w:p>
    <w:p w:rsidR="00FF0B3D" w:rsidRDefault="00FF0B3D" w:rsidP="00FF0B3D">
      <w:pPr>
        <w:spacing w:line="200" w:lineRule="exact"/>
        <w:rPr>
          <w:rFonts w:ascii="Times New Roman" w:eastAsia="Times New Roman" w:hAnsi="Times New Roman"/>
        </w:rPr>
      </w:pPr>
    </w:p>
    <w:p w:rsidR="00FF0B3D" w:rsidRDefault="00FF0B3D" w:rsidP="00FF0B3D">
      <w:pPr>
        <w:spacing w:line="200" w:lineRule="exact"/>
        <w:rPr>
          <w:rFonts w:ascii="Times New Roman" w:eastAsia="Times New Roman" w:hAnsi="Times New Roman"/>
        </w:rPr>
      </w:pPr>
    </w:p>
    <w:p w:rsidR="00FF0B3D" w:rsidRDefault="00FF0B3D" w:rsidP="00FF0B3D">
      <w:pPr>
        <w:spacing w:line="254" w:lineRule="exact"/>
        <w:rPr>
          <w:rFonts w:ascii="Times New Roman" w:eastAsia="Times New Roman" w:hAnsi="Times New Roman"/>
        </w:rPr>
      </w:pPr>
    </w:p>
    <w:p w:rsidR="00FF0B3D" w:rsidRDefault="00FF0B3D" w:rsidP="00FF0B3D">
      <w:pPr>
        <w:spacing w:line="297" w:lineRule="auto"/>
        <w:ind w:left="580"/>
        <w:jc w:val="both"/>
        <w:rPr>
          <w:rFonts w:ascii="Times New Roman" w:eastAsia="Times New Roman" w:hAnsi="Times New Roman"/>
          <w:sz w:val="12"/>
        </w:rPr>
      </w:pPr>
      <w:r>
        <w:rPr>
          <w:rFonts w:ascii="Times New Roman" w:eastAsia="Times New Roman" w:hAnsi="Times New Roman"/>
          <w:sz w:val="21"/>
        </w:rPr>
        <w:t>paralar basıldığı bilinmektedir. Mağşûş para, ayarı düşürülmüş para de-mektir. Bu paralar devletler tarafından saf altın ya da saf gümüş paralar gibi piyasaya sürülmüştür. Fakat mağşûş para, piyâsada saf madenî pa-ranın sahip olduğu değere sahip olmuştur. Böylece mağşuş para ile saf madenî paranın, mâlî değeri farklı olsa da nominâl/ismî/itibârî değeri eşitlenmiştir. (tıpkı mal-para olarak kullanılan kalitesiz hurma ile kali-teli hurmanın değerinin eşit sayılması gibi)</w:t>
      </w:r>
      <w:r>
        <w:rPr>
          <w:rFonts w:ascii="Times New Roman" w:eastAsia="Times New Roman" w:hAnsi="Times New Roman"/>
          <w:sz w:val="12"/>
        </w:rPr>
        <w:t>29</w:t>
      </w:r>
    </w:p>
    <w:p w:rsidR="00FF0B3D" w:rsidRDefault="00FF0B3D" w:rsidP="00FF0B3D">
      <w:pPr>
        <w:spacing w:line="4" w:lineRule="exact"/>
        <w:rPr>
          <w:rFonts w:ascii="Times New Roman" w:eastAsia="Times New Roman" w:hAnsi="Times New Roman"/>
        </w:rPr>
      </w:pPr>
    </w:p>
    <w:p w:rsidR="00FF0B3D" w:rsidRDefault="00FF0B3D" w:rsidP="00FF0B3D">
      <w:pPr>
        <w:spacing w:line="0" w:lineRule="atLeast"/>
        <w:ind w:left="580"/>
        <w:rPr>
          <w:rFonts w:ascii="Times New Roman" w:eastAsia="Times New Roman" w:hAnsi="Times New Roman"/>
        </w:rPr>
      </w:pPr>
      <w:r>
        <w:rPr>
          <w:rFonts w:ascii="Times New Roman" w:eastAsia="Times New Roman" w:hAnsi="Times New Roman"/>
        </w:rPr>
        <w:t>Arapça’da nominal değer, “</w:t>
      </w:r>
      <w:r>
        <w:rPr>
          <w:rFonts w:ascii="Times New Roman" w:eastAsia="Times New Roman" w:hAnsi="Times New Roman"/>
          <w:i/>
        </w:rPr>
        <w:t>el-kıymetü’l-ismiyye</w:t>
      </w:r>
      <w:r>
        <w:rPr>
          <w:rFonts w:ascii="Times New Roman" w:eastAsia="Times New Roman" w:hAnsi="Times New Roman"/>
        </w:rPr>
        <w:t>” şeklinde ifade edil-</w:t>
      </w:r>
    </w:p>
    <w:p w:rsidR="00FF0B3D" w:rsidRDefault="00FF0B3D" w:rsidP="00FF0B3D">
      <w:pPr>
        <w:spacing w:line="51" w:lineRule="exact"/>
        <w:rPr>
          <w:rFonts w:ascii="Times New Roman" w:eastAsia="Times New Roman" w:hAnsi="Times New Roman"/>
        </w:rPr>
      </w:pPr>
    </w:p>
    <w:p w:rsidR="00FF0B3D" w:rsidRDefault="00FF0B3D" w:rsidP="00FF0B3D">
      <w:pPr>
        <w:spacing w:line="271" w:lineRule="auto"/>
        <w:ind w:left="580"/>
        <w:jc w:val="both"/>
        <w:rPr>
          <w:rFonts w:ascii="Times New Roman" w:eastAsia="Times New Roman" w:hAnsi="Times New Roman"/>
        </w:rPr>
      </w:pPr>
      <w:r>
        <w:rPr>
          <w:rFonts w:ascii="Times New Roman" w:eastAsia="Times New Roman" w:hAnsi="Times New Roman"/>
        </w:rPr>
        <w:t>mektedir. Mağşuş paranın, saf madenî para ile aynı nominal değeri ta-şıdığı, bu kavramla ortaya konmaktadır. (“</w:t>
      </w:r>
      <w:r>
        <w:rPr>
          <w:sz w:val="25"/>
        </w:rPr>
        <w:t>مسا هلوانت هشغ ىلع هتضف بلغ امو</w:t>
      </w:r>
      <w:r>
        <w:rPr>
          <w:rFonts w:ascii="Times New Roman" w:eastAsia="Times New Roman" w:hAnsi="Times New Roman"/>
        </w:rPr>
        <w:t xml:space="preserve"> </w:t>
      </w:r>
      <w:r>
        <w:rPr>
          <w:sz w:val="25"/>
        </w:rPr>
        <w:t>مهاردلا</w:t>
      </w:r>
      <w:r>
        <w:rPr>
          <w:rFonts w:ascii="Times New Roman" w:eastAsia="Times New Roman" w:hAnsi="Times New Roman"/>
        </w:rPr>
        <w:t>” paradaki gümüş, ayarı</w:t>
      </w:r>
      <w:r>
        <w:rPr>
          <w:sz w:val="25"/>
        </w:rPr>
        <w:t xml:space="preserve"> </w:t>
      </w:r>
      <w:r>
        <w:rPr>
          <w:rFonts w:ascii="Times New Roman" w:eastAsia="Times New Roman" w:hAnsi="Times New Roman"/>
        </w:rPr>
        <w:t>düşüren diğer madenlerden daha baskın</w:t>
      </w:r>
      <w:r>
        <w:rPr>
          <w:sz w:val="25"/>
        </w:rPr>
        <w:t xml:space="preserve"> </w:t>
      </w:r>
      <w:r>
        <w:rPr>
          <w:rFonts w:ascii="Times New Roman" w:eastAsia="Times New Roman" w:hAnsi="Times New Roman"/>
        </w:rPr>
        <w:t xml:space="preserve">ise bu para “dirhem” </w:t>
      </w:r>
      <w:r>
        <w:rPr>
          <w:rFonts w:ascii="Times New Roman" w:eastAsia="Times New Roman" w:hAnsi="Times New Roman"/>
          <w:i/>
        </w:rPr>
        <w:t>ismi</w:t>
      </w:r>
      <w:r>
        <w:rPr>
          <w:rFonts w:ascii="Times New Roman" w:eastAsia="Times New Roman" w:hAnsi="Times New Roman"/>
        </w:rPr>
        <w:t>ni hak eder)</w:t>
      </w:r>
      <w:r>
        <w:rPr>
          <w:rFonts w:ascii="Times New Roman" w:eastAsia="Times New Roman" w:hAnsi="Times New Roman"/>
          <w:sz w:val="11"/>
        </w:rPr>
        <w:t>30</w:t>
      </w:r>
      <w:r>
        <w:rPr>
          <w:rFonts w:ascii="Times New Roman" w:eastAsia="Times New Roman" w:hAnsi="Times New Roman"/>
        </w:rPr>
        <w:t xml:space="preserve"> Böylece mağşuş para, dirhem ismini hak etmekten kaynaklanan bir değer ifade eder.</w:t>
      </w:r>
    </w:p>
    <w:p w:rsidR="00FF0B3D" w:rsidRDefault="00FF0B3D" w:rsidP="00FF0B3D">
      <w:pPr>
        <w:spacing w:line="4" w:lineRule="exact"/>
        <w:rPr>
          <w:rFonts w:ascii="Times New Roman" w:eastAsia="Times New Roman" w:hAnsi="Times New Roman"/>
        </w:rPr>
      </w:pPr>
    </w:p>
    <w:p w:rsidR="00FF0B3D" w:rsidRDefault="00FF0B3D" w:rsidP="00FF0B3D">
      <w:pPr>
        <w:spacing w:line="284" w:lineRule="auto"/>
        <w:ind w:firstLine="284"/>
        <w:jc w:val="both"/>
        <w:rPr>
          <w:rFonts w:ascii="Times New Roman" w:eastAsia="Times New Roman" w:hAnsi="Times New Roman"/>
        </w:rPr>
      </w:pPr>
      <w:r>
        <w:rPr>
          <w:rFonts w:ascii="Times New Roman" w:eastAsia="Times New Roman" w:hAnsi="Times New Roman"/>
        </w:rPr>
        <w:t>Hadiste belirtilen altı sınıf malın, mal-para özelliklerini taşıması sadece tesâdüfî bir örtüşmeden ibaret değildir. Bu malların birer para olarak kulla-nıldığı, tarihen de sabittir. Bu tesbiti yaparken dayanağımız yine, dönemin iktisadi muamelelerini yansıtan rivayetlerdir.</w:t>
      </w:r>
    </w:p>
    <w:p w:rsidR="00D93C16" w:rsidRPr="0028527B" w:rsidRDefault="00FE4A81" w:rsidP="0028527B">
      <w:pPr>
        <w:spacing w:line="360" w:lineRule="auto"/>
        <w:rPr>
          <w:sz w:val="24"/>
          <w:szCs w:val="24"/>
        </w:rPr>
      </w:pPr>
    </w:p>
    <w:sectPr w:rsidR="00D93C16" w:rsidRPr="0028527B" w:rsidSect="00534153">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A81" w:rsidRDefault="00FE4A81" w:rsidP="00766A2D">
      <w:r>
        <w:separator/>
      </w:r>
    </w:p>
  </w:endnote>
  <w:endnote w:type="continuationSeparator" w:id="0">
    <w:p w:rsidR="00FE4A81" w:rsidRDefault="00FE4A81" w:rsidP="00766A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A81" w:rsidRDefault="00FE4A81" w:rsidP="00766A2D">
      <w:r>
        <w:separator/>
      </w:r>
    </w:p>
  </w:footnote>
  <w:footnote w:type="continuationSeparator" w:id="0">
    <w:p w:rsidR="00FE4A81" w:rsidRDefault="00FE4A81" w:rsidP="00766A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DB9" w:rsidRDefault="00BD538D">
    <w:pPr>
      <w:pStyle w:val="GvdeMetni"/>
      <w:spacing w:line="14" w:lineRule="auto"/>
      <w:rPr>
        <w:sz w:val="20"/>
      </w:rPr>
    </w:pPr>
    <w:r w:rsidRPr="00BD538D">
      <w:pict>
        <v:shapetype id="_x0000_t202" coordsize="21600,21600" o:spt="202" path="m,l,21600r21600,l21600,xe">
          <v:stroke joinstyle="miter"/>
          <v:path gradientshapeok="t" o:connecttype="rect"/>
        </v:shapetype>
        <v:shape id="_x0000_s2050" type="#_x0000_t202" style="position:absolute;margin-left:218.3pt;margin-top:61.8pt;width:181.15pt;height:14.85pt;z-index:-251658752;mso-position-horizontal-relative:page;mso-position-vertical-relative:page" filled="f" stroked="f">
          <v:textbox style="mso-next-textbox:#_x0000_s2050" inset="0,0,0,0">
            <w:txbxContent>
              <w:p w:rsidR="00587DB9" w:rsidRPr="00A93A35" w:rsidRDefault="00FE4A81" w:rsidP="00A93A35"/>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9"/>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6"/>
    <w:multiLevelType w:val="hybridMultilevel"/>
    <w:tmpl w:val="2D1D5AE8"/>
    <w:lvl w:ilvl="0" w:tplc="FFFFFFFF">
      <w:start w:val="12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7"/>
    <w:multiLevelType w:val="hybridMultilevel"/>
    <w:tmpl w:val="6763845E"/>
    <w:lvl w:ilvl="0" w:tplc="FFFFFFFF">
      <w:start w:val="13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8"/>
    <w:multiLevelType w:val="hybridMultilevel"/>
    <w:tmpl w:val="75A2A8D4"/>
    <w:lvl w:ilvl="0" w:tplc="FFFFFFFF">
      <w:start w:val="40"/>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28527B"/>
    <w:rsid w:val="00196DEB"/>
    <w:rsid w:val="0028527B"/>
    <w:rsid w:val="00354863"/>
    <w:rsid w:val="00402397"/>
    <w:rsid w:val="00534153"/>
    <w:rsid w:val="00680C6B"/>
    <w:rsid w:val="00766A2D"/>
    <w:rsid w:val="00A93A35"/>
    <w:rsid w:val="00BD538D"/>
    <w:rsid w:val="00D26103"/>
    <w:rsid w:val="00E2063E"/>
    <w:rsid w:val="00FE4A81"/>
    <w:rsid w:val="00FF0B3D"/>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8527B"/>
    <w:pPr>
      <w:widowControl w:val="0"/>
      <w:autoSpaceDE w:val="0"/>
      <w:autoSpaceDN w:val="0"/>
      <w:spacing w:after="0" w:line="240" w:lineRule="auto"/>
    </w:pPr>
    <w:rPr>
      <w:rFonts w:ascii="Arial" w:eastAsia="Arial" w:hAnsi="Arial" w:cs="Arial"/>
      <w:sz w:val="22"/>
      <w:szCs w:val="2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28527B"/>
    <w:rPr>
      <w:sz w:val="23"/>
      <w:szCs w:val="23"/>
    </w:rPr>
  </w:style>
  <w:style w:type="character" w:customStyle="1" w:styleId="GvdeMetniChar">
    <w:name w:val="Gövde Metni Char"/>
    <w:basedOn w:val="VarsaylanParagrafYazTipi"/>
    <w:link w:val="GvdeMetni"/>
    <w:uiPriority w:val="1"/>
    <w:rsid w:val="0028527B"/>
    <w:rPr>
      <w:rFonts w:ascii="Arial" w:eastAsia="Arial" w:hAnsi="Arial" w:cs="Arial"/>
      <w:sz w:val="23"/>
      <w:szCs w:val="23"/>
      <w:lang w:val="en-US"/>
    </w:rPr>
  </w:style>
  <w:style w:type="paragraph" w:customStyle="1" w:styleId="Heading3">
    <w:name w:val="Heading 3"/>
    <w:basedOn w:val="Normal"/>
    <w:uiPriority w:val="1"/>
    <w:qFormat/>
    <w:rsid w:val="0028527B"/>
    <w:pPr>
      <w:spacing w:before="10"/>
      <w:outlineLvl w:val="3"/>
    </w:pPr>
    <w:rPr>
      <w:sz w:val="25"/>
      <w:szCs w:val="25"/>
    </w:rPr>
  </w:style>
  <w:style w:type="paragraph" w:styleId="stbilgi">
    <w:name w:val="header"/>
    <w:basedOn w:val="Normal"/>
    <w:link w:val="stbilgiChar"/>
    <w:uiPriority w:val="99"/>
    <w:semiHidden/>
    <w:unhideWhenUsed/>
    <w:rsid w:val="00A93A35"/>
    <w:pPr>
      <w:tabs>
        <w:tab w:val="center" w:pos="4536"/>
        <w:tab w:val="right" w:pos="9072"/>
      </w:tabs>
    </w:pPr>
  </w:style>
  <w:style w:type="character" w:customStyle="1" w:styleId="stbilgiChar">
    <w:name w:val="Üstbilgi Char"/>
    <w:basedOn w:val="VarsaylanParagrafYazTipi"/>
    <w:link w:val="stbilgi"/>
    <w:uiPriority w:val="99"/>
    <w:semiHidden/>
    <w:rsid w:val="00A93A35"/>
    <w:rPr>
      <w:rFonts w:ascii="Arial" w:eastAsia="Arial" w:hAnsi="Arial" w:cs="Arial"/>
      <w:sz w:val="22"/>
      <w:szCs w:val="22"/>
      <w:lang w:val="en-US"/>
    </w:rPr>
  </w:style>
  <w:style w:type="paragraph" w:styleId="Altbilgi">
    <w:name w:val="footer"/>
    <w:basedOn w:val="Normal"/>
    <w:link w:val="AltbilgiChar"/>
    <w:uiPriority w:val="99"/>
    <w:semiHidden/>
    <w:unhideWhenUsed/>
    <w:rsid w:val="00A93A35"/>
    <w:pPr>
      <w:tabs>
        <w:tab w:val="center" w:pos="4536"/>
        <w:tab w:val="right" w:pos="9072"/>
      </w:tabs>
    </w:pPr>
  </w:style>
  <w:style w:type="character" w:customStyle="1" w:styleId="AltbilgiChar">
    <w:name w:val="Altbilgi Char"/>
    <w:basedOn w:val="VarsaylanParagrafYazTipi"/>
    <w:link w:val="Altbilgi"/>
    <w:uiPriority w:val="99"/>
    <w:semiHidden/>
    <w:rsid w:val="00A93A35"/>
    <w:rPr>
      <w:rFonts w:ascii="Arial" w:eastAsia="Arial" w:hAnsi="Arial" w:cs="Arial"/>
      <w:sz w:val="22"/>
      <w:szCs w:val="2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896</Words>
  <Characters>5113</Characters>
  <Application>Microsoft Office Word</Application>
  <DocSecurity>0</DocSecurity>
  <Lines>42</Lines>
  <Paragraphs>11</Paragraphs>
  <ScaleCrop>false</ScaleCrop>
  <Company/>
  <LinksUpToDate>false</LinksUpToDate>
  <CharactersWithSpaces>5998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4</cp:revision>
  <dcterms:created xsi:type="dcterms:W3CDTF">2020-07-17T16:02:00Z</dcterms:created>
  <dcterms:modified xsi:type="dcterms:W3CDTF">2020-07-18T00:03:00Z</dcterms:modified>
</cp:coreProperties>
</file>