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6C" w:rsidRDefault="00217F6C" w:rsidP="00217F6C">
      <w:pPr>
        <w:spacing w:line="238" w:lineRule="auto"/>
        <w:ind w:right="246" w:firstLine="708"/>
        <w:jc w:val="both"/>
        <w:rPr>
          <w:rFonts w:ascii="Times New Roman" w:eastAsia="Times New Roman" w:hAnsi="Times New Roman"/>
          <w:sz w:val="22"/>
        </w:rPr>
      </w:pPr>
      <w:r>
        <w:rPr>
          <w:rFonts w:ascii="Times New Roman" w:eastAsia="Times New Roman" w:hAnsi="Times New Roman"/>
          <w:sz w:val="22"/>
        </w:rPr>
        <w:t xml:space="preserve">İslamî ilimler </w:t>
      </w:r>
      <w:proofErr w:type="gramStart"/>
      <w:r>
        <w:rPr>
          <w:rFonts w:ascii="Times New Roman" w:eastAsia="Times New Roman" w:hAnsi="Times New Roman"/>
          <w:sz w:val="22"/>
        </w:rPr>
        <w:t>literatüründe</w:t>
      </w:r>
      <w:proofErr w:type="gramEnd"/>
      <w:r>
        <w:rPr>
          <w:rFonts w:ascii="Times New Roman" w:eastAsia="Times New Roman" w:hAnsi="Times New Roman"/>
          <w:sz w:val="22"/>
        </w:rPr>
        <w:t xml:space="preserve"> metin, şerh, </w:t>
      </w:r>
      <w:proofErr w:type="spellStart"/>
      <w:r>
        <w:rPr>
          <w:rFonts w:ascii="Times New Roman" w:eastAsia="Times New Roman" w:hAnsi="Times New Roman"/>
          <w:sz w:val="22"/>
        </w:rPr>
        <w:t>hâşiye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ta’lîk</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takrîr</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risâle</w:t>
      </w:r>
      <w:proofErr w:type="spellEnd"/>
      <w:r>
        <w:rPr>
          <w:rFonts w:ascii="Times New Roman" w:eastAsia="Times New Roman" w:hAnsi="Times New Roman"/>
          <w:sz w:val="22"/>
        </w:rPr>
        <w:t xml:space="preserve">, muhtasar, reddiye gibi birçok yazım stili mevcuttur. Bu stiller, alimlerin ilmî disiplinlere yaptıkları </w:t>
      </w:r>
      <w:proofErr w:type="gramStart"/>
      <w:r>
        <w:rPr>
          <w:rFonts w:ascii="Times New Roman" w:eastAsia="Times New Roman" w:hAnsi="Times New Roman"/>
          <w:sz w:val="22"/>
        </w:rPr>
        <w:t>kümülatif</w:t>
      </w:r>
      <w:proofErr w:type="gramEnd"/>
      <w:r>
        <w:rPr>
          <w:rFonts w:ascii="Times New Roman" w:eastAsia="Times New Roman" w:hAnsi="Times New Roman"/>
          <w:sz w:val="22"/>
        </w:rPr>
        <w:t xml:space="preserve"> katkıların niteliğine göre birbirinden ayrılmaktadır. Hangi İslamî disiplinde olursa olsun, yazılan eserler sahiplerine nispet edilse de içlerinde aktarılan bilgiler, açıklamalar ve yorumlar kolektif bir aklın ve geleneğin muhassalasıdır. Her halükarda İslamî ilimler </w:t>
      </w:r>
      <w:proofErr w:type="gramStart"/>
      <w:r>
        <w:rPr>
          <w:rFonts w:ascii="Times New Roman" w:eastAsia="Times New Roman" w:hAnsi="Times New Roman"/>
          <w:sz w:val="22"/>
        </w:rPr>
        <w:t>literatürünün</w:t>
      </w:r>
      <w:proofErr w:type="gramEnd"/>
      <w:r>
        <w:rPr>
          <w:rFonts w:ascii="Times New Roman" w:eastAsia="Times New Roman" w:hAnsi="Times New Roman"/>
          <w:sz w:val="22"/>
        </w:rPr>
        <w:t xml:space="preserve"> kişisel </w:t>
      </w:r>
      <w:proofErr w:type="spellStart"/>
      <w:r>
        <w:rPr>
          <w:rFonts w:ascii="Times New Roman" w:eastAsia="Times New Roman" w:hAnsi="Times New Roman"/>
          <w:sz w:val="22"/>
        </w:rPr>
        <w:t>telîflerden</w:t>
      </w:r>
      <w:proofErr w:type="spellEnd"/>
      <w:r>
        <w:rPr>
          <w:rFonts w:ascii="Times New Roman" w:eastAsia="Times New Roman" w:hAnsi="Times New Roman"/>
          <w:sz w:val="22"/>
        </w:rPr>
        <w:t xml:space="preserve"> ziyade müşterek bir inşadan ibaret olduğunu söyleyebiliriz.</w:t>
      </w:r>
    </w:p>
    <w:p w:rsidR="00217F6C" w:rsidRDefault="00217F6C" w:rsidP="00217F6C">
      <w:pPr>
        <w:spacing w:line="132" w:lineRule="exact"/>
        <w:rPr>
          <w:rFonts w:ascii="Times New Roman" w:eastAsia="Times New Roman" w:hAnsi="Times New Roman"/>
        </w:rPr>
      </w:pPr>
    </w:p>
    <w:p w:rsidR="00217F6C" w:rsidRDefault="00217F6C" w:rsidP="00217F6C">
      <w:pPr>
        <w:spacing w:line="239" w:lineRule="auto"/>
        <w:ind w:right="246" w:firstLine="708"/>
        <w:jc w:val="both"/>
        <w:rPr>
          <w:rFonts w:ascii="Times New Roman" w:eastAsia="Times New Roman" w:hAnsi="Times New Roman"/>
          <w:sz w:val="22"/>
        </w:rPr>
      </w:pPr>
      <w:r>
        <w:rPr>
          <w:rFonts w:ascii="Times New Roman" w:eastAsia="Times New Roman" w:hAnsi="Times New Roman"/>
          <w:sz w:val="22"/>
        </w:rPr>
        <w:t xml:space="preserve">Hanefî </w:t>
      </w:r>
      <w:proofErr w:type="gramStart"/>
      <w:r>
        <w:rPr>
          <w:rFonts w:ascii="Times New Roman" w:eastAsia="Times New Roman" w:hAnsi="Times New Roman"/>
          <w:sz w:val="22"/>
        </w:rPr>
        <w:t>literatürünün</w:t>
      </w:r>
      <w:proofErr w:type="gramEnd"/>
      <w:r>
        <w:rPr>
          <w:rFonts w:ascii="Times New Roman" w:eastAsia="Times New Roman" w:hAnsi="Times New Roman"/>
          <w:sz w:val="22"/>
        </w:rPr>
        <w:t xml:space="preserve"> oluşumunda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(ö. 483/1090) çok önemli bir yerde durduğu çok iyi bilinen bir husustur. Hanefî mezhebi ortaya çıkışından itibaren ilk üç asır boyunca tedris, </w:t>
      </w:r>
      <w:proofErr w:type="spellStart"/>
      <w:r>
        <w:rPr>
          <w:rFonts w:ascii="Times New Roman" w:eastAsia="Times New Roman" w:hAnsi="Times New Roman"/>
          <w:sz w:val="22"/>
        </w:rPr>
        <w:t>kazâ</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iftâ</w:t>
      </w:r>
      <w:proofErr w:type="spellEnd"/>
      <w:r>
        <w:rPr>
          <w:rFonts w:ascii="Times New Roman" w:eastAsia="Times New Roman" w:hAnsi="Times New Roman"/>
          <w:sz w:val="22"/>
        </w:rPr>
        <w:t xml:space="preserve"> gibi alanlarda sistemleşerek teşekkülünü tamamlamış ve çok geniş kitlelere yayılmıştır. Daha sonra gelen ve bizim ‘orta dönem’ diye isimlendirebileceğimiz süreçte ise mezhep, bu gücünü ve büyüklüğünü korumaya çalışmıştır. </w:t>
      </w:r>
      <w:proofErr w:type="spellStart"/>
      <w:r>
        <w:rPr>
          <w:rFonts w:ascii="Times New Roman" w:eastAsia="Times New Roman" w:hAnsi="Times New Roman"/>
          <w:sz w:val="22"/>
        </w:rPr>
        <w:t>Serahsî</w:t>
      </w:r>
      <w:proofErr w:type="spellEnd"/>
      <w:r>
        <w:rPr>
          <w:rFonts w:ascii="Times New Roman" w:eastAsia="Times New Roman" w:hAnsi="Times New Roman"/>
          <w:sz w:val="22"/>
        </w:rPr>
        <w:t xml:space="preserve">, işte bu orta dönemin başlarında yaşayan ve ilk dönem Hanefî </w:t>
      </w:r>
      <w:proofErr w:type="spellStart"/>
      <w:r>
        <w:rPr>
          <w:rFonts w:ascii="Times New Roman" w:eastAsia="Times New Roman" w:hAnsi="Times New Roman"/>
          <w:i/>
          <w:sz w:val="22"/>
        </w:rPr>
        <w:t>furû</w:t>
      </w:r>
      <w:proofErr w:type="spellEnd"/>
      <w:r>
        <w:rPr>
          <w:rFonts w:ascii="Times New Roman" w:eastAsia="Times New Roman" w:hAnsi="Times New Roman"/>
          <w:i/>
          <w:sz w:val="22"/>
        </w:rPr>
        <w:t xml:space="preserve">-ı </w:t>
      </w:r>
      <w:proofErr w:type="spellStart"/>
      <w:r>
        <w:rPr>
          <w:rFonts w:ascii="Times New Roman" w:eastAsia="Times New Roman" w:hAnsi="Times New Roman"/>
          <w:i/>
          <w:sz w:val="22"/>
        </w:rPr>
        <w:t>fıkh</w:t>
      </w:r>
      <w:proofErr w:type="spellEnd"/>
      <w:r>
        <w:rPr>
          <w:rFonts w:ascii="Times New Roman" w:eastAsia="Times New Roman" w:hAnsi="Times New Roman"/>
          <w:sz w:val="22"/>
        </w:rPr>
        <w:t xml:space="preserve"> mirasını daha geniş bir ufka erdirerek gelecek nesillere taşıyan çok önemli bir fakihtir. O, yeni eserler yazmaktansa veya bizzat ders aldığı hocaların kitapları üzerine şerh veya muhtasar türünden eserler telif etmektense doğrudan doğruya mezhebin kurucu metinlerine yönelmiştir. Temel eserleri şerh ederek mezhep görüşlerinin daha anlaşılır ve daha sistematik hale gelmesine emsalsiz bir katkı sağlamıştır. Bunu yaparken kendi yaklaşımlarını ortaya koymaktan da çekinmemiştir. Getirdiği yeni örneklerle, açtığı yeni tartışmalarla Hanefî </w:t>
      </w:r>
      <w:proofErr w:type="gramStart"/>
      <w:r>
        <w:rPr>
          <w:rFonts w:ascii="Times New Roman" w:eastAsia="Times New Roman" w:hAnsi="Times New Roman"/>
          <w:sz w:val="22"/>
        </w:rPr>
        <w:t>literatürüne</w:t>
      </w:r>
      <w:proofErr w:type="gramEnd"/>
      <w:r>
        <w:rPr>
          <w:rFonts w:ascii="Times New Roman" w:eastAsia="Times New Roman" w:hAnsi="Times New Roman"/>
          <w:sz w:val="22"/>
        </w:rPr>
        <w:t xml:space="preserve"> zenginlik katmıştır. Başta </w:t>
      </w:r>
      <w:r>
        <w:rPr>
          <w:rFonts w:ascii="Times New Roman" w:eastAsia="Times New Roman" w:hAnsi="Times New Roman"/>
          <w:i/>
          <w:sz w:val="22"/>
        </w:rPr>
        <w:t>el-</w:t>
      </w:r>
      <w:proofErr w:type="spellStart"/>
      <w:r>
        <w:rPr>
          <w:rFonts w:ascii="Times New Roman" w:eastAsia="Times New Roman" w:hAnsi="Times New Roman"/>
          <w:i/>
          <w:sz w:val="22"/>
        </w:rPr>
        <w:t>Mebsūt</w:t>
      </w:r>
      <w:proofErr w:type="spellEnd"/>
      <w:r>
        <w:rPr>
          <w:rFonts w:ascii="Times New Roman" w:eastAsia="Times New Roman" w:hAnsi="Times New Roman"/>
          <w:sz w:val="22"/>
        </w:rPr>
        <w:t xml:space="preserve"> olmak üzere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bütün eserlerinde bu özellikleri görmek mümkündür. Bu nedenle mezhep fakihlerini etki ve kapasitelerine göre derecelendiren bazı </w:t>
      </w:r>
      <w:proofErr w:type="gramStart"/>
      <w:r>
        <w:rPr>
          <w:rFonts w:ascii="Times New Roman" w:eastAsia="Times New Roman" w:hAnsi="Times New Roman"/>
          <w:sz w:val="22"/>
        </w:rPr>
        <w:t>alimler</w:t>
      </w:r>
      <w:proofErr w:type="gramEnd"/>
      <w:r>
        <w:rPr>
          <w:rFonts w:ascii="Times New Roman" w:eastAsia="Times New Roman" w:hAnsi="Times New Roman"/>
          <w:sz w:val="22"/>
        </w:rPr>
        <w:t xml:space="preserve"> birinci tabakada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Hanîfe’yi</w:t>
      </w:r>
      <w:proofErr w:type="spellEnd"/>
      <w:r>
        <w:rPr>
          <w:rFonts w:ascii="Times New Roman" w:eastAsia="Times New Roman" w:hAnsi="Times New Roman"/>
          <w:sz w:val="22"/>
        </w:rPr>
        <w:t xml:space="preserve">, ikinci tabakada onun doğrudan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w:t>
      </w:r>
      <w:proofErr w:type="spellEnd"/>
      <w:r>
        <w:rPr>
          <w:rFonts w:ascii="Times New Roman" w:eastAsia="Times New Roman" w:hAnsi="Times New Roman"/>
          <w:sz w:val="22"/>
        </w:rPr>
        <w:t xml:space="preserve"> ve İmam Muhammed gibi öğrencilerini saydıktan sonra üçüncü tabakada bir çok alimle birlikte </w:t>
      </w:r>
      <w:proofErr w:type="spellStart"/>
      <w:r>
        <w:rPr>
          <w:rFonts w:ascii="Times New Roman" w:eastAsia="Times New Roman" w:hAnsi="Times New Roman"/>
          <w:sz w:val="22"/>
        </w:rPr>
        <w:t>Serahsî’yi</w:t>
      </w:r>
      <w:proofErr w:type="spellEnd"/>
      <w:r>
        <w:rPr>
          <w:rFonts w:ascii="Times New Roman" w:eastAsia="Times New Roman" w:hAnsi="Times New Roman"/>
          <w:sz w:val="22"/>
        </w:rPr>
        <w:t xml:space="preserve"> de saymışlardır.(Ḳ</w:t>
      </w:r>
      <w:proofErr w:type="spellStart"/>
      <w:r>
        <w:rPr>
          <w:rFonts w:ascii="Times New Roman" w:eastAsia="Times New Roman" w:hAnsi="Times New Roman"/>
          <w:sz w:val="22"/>
        </w:rPr>
        <w:t>uraşī</w:t>
      </w:r>
      <w:proofErr w:type="spellEnd"/>
      <w:r>
        <w:rPr>
          <w:rFonts w:ascii="Times New Roman" w:eastAsia="Times New Roman" w:hAnsi="Times New Roman"/>
          <w:sz w:val="22"/>
        </w:rPr>
        <w:t>, 1933: 1/558)</w:t>
      </w:r>
    </w:p>
    <w:p w:rsidR="00217F6C" w:rsidRDefault="00217F6C" w:rsidP="00217F6C">
      <w:pPr>
        <w:spacing w:line="139" w:lineRule="exact"/>
        <w:rPr>
          <w:rFonts w:ascii="Times New Roman" w:eastAsia="Times New Roman" w:hAnsi="Times New Roman"/>
        </w:rPr>
      </w:pPr>
    </w:p>
    <w:p w:rsidR="00217F6C" w:rsidRDefault="00217F6C" w:rsidP="00217F6C">
      <w:pPr>
        <w:spacing w:line="250" w:lineRule="auto"/>
        <w:ind w:right="266" w:firstLine="708"/>
        <w:jc w:val="both"/>
        <w:rPr>
          <w:rFonts w:ascii="Times New Roman" w:eastAsia="Times New Roman" w:hAnsi="Times New Roman"/>
          <w:sz w:val="21"/>
        </w:rPr>
      </w:pPr>
      <w:r>
        <w:rPr>
          <w:rFonts w:ascii="Times New Roman" w:eastAsia="Times New Roman" w:hAnsi="Times New Roman"/>
          <w:sz w:val="21"/>
        </w:rPr>
        <w:t xml:space="preserve">Bu makalenin mihverinde yer alan ve </w:t>
      </w:r>
      <w:proofErr w:type="spellStart"/>
      <w:r>
        <w:rPr>
          <w:rFonts w:ascii="Times New Roman" w:eastAsia="Times New Roman" w:hAnsi="Times New Roman"/>
          <w:sz w:val="21"/>
        </w:rPr>
        <w:t>Serahsî</w:t>
      </w:r>
      <w:proofErr w:type="spellEnd"/>
      <w:r>
        <w:rPr>
          <w:rFonts w:ascii="Times New Roman" w:eastAsia="Times New Roman" w:hAnsi="Times New Roman"/>
          <w:sz w:val="21"/>
        </w:rPr>
        <w:t xml:space="preserve"> tarafından yazılmış olan </w:t>
      </w:r>
      <w:r>
        <w:rPr>
          <w:rFonts w:ascii="Times New Roman" w:eastAsia="Times New Roman" w:hAnsi="Times New Roman"/>
          <w:i/>
          <w:sz w:val="21"/>
        </w:rPr>
        <w:t>Şerḥ</w:t>
      </w:r>
      <w:proofErr w:type="spellStart"/>
      <w:r>
        <w:rPr>
          <w:rFonts w:ascii="Times New Roman" w:eastAsia="Times New Roman" w:hAnsi="Times New Roman"/>
          <w:i/>
          <w:sz w:val="21"/>
        </w:rPr>
        <w:t>u’s</w:t>
      </w:r>
      <w:proofErr w:type="spellEnd"/>
      <w:r>
        <w:rPr>
          <w:rFonts w:ascii="Times New Roman" w:eastAsia="Times New Roman" w:hAnsi="Times New Roman"/>
          <w:i/>
          <w:sz w:val="21"/>
        </w:rPr>
        <w:t>-</w:t>
      </w:r>
      <w:proofErr w:type="spellStart"/>
      <w:r>
        <w:rPr>
          <w:rFonts w:ascii="Times New Roman" w:eastAsia="Times New Roman" w:hAnsi="Times New Roman"/>
          <w:i/>
          <w:sz w:val="21"/>
        </w:rPr>
        <w:t>Siyeri’l</w:t>
      </w:r>
      <w:proofErr w:type="spellEnd"/>
      <w:r>
        <w:rPr>
          <w:rFonts w:ascii="Times New Roman" w:eastAsia="Times New Roman" w:hAnsi="Times New Roman"/>
          <w:i/>
          <w:sz w:val="21"/>
        </w:rPr>
        <w:t>-</w:t>
      </w:r>
      <w:proofErr w:type="spellStart"/>
      <w:r>
        <w:rPr>
          <w:rFonts w:ascii="Times New Roman" w:eastAsia="Times New Roman" w:hAnsi="Times New Roman"/>
          <w:i/>
          <w:sz w:val="21"/>
        </w:rPr>
        <w:t>Kebīr</w:t>
      </w:r>
      <w:proofErr w:type="spellEnd"/>
      <w:r>
        <w:rPr>
          <w:rFonts w:ascii="Times New Roman" w:eastAsia="Times New Roman" w:hAnsi="Times New Roman"/>
          <w:sz w:val="21"/>
        </w:rPr>
        <w:t xml:space="preserve"> adlı eser, fıkıh tarihi boyunca müşterek metin inşasının en dikkat çekici örneklerinden biridir. Eser, esas itibariyle Hanefî mezhebinin en sağlam orijinal referans metinlerini (</w:t>
      </w:r>
      <w:r>
        <w:rPr>
          <w:rFonts w:ascii="Times New Roman" w:eastAsia="Times New Roman" w:hAnsi="Times New Roman"/>
          <w:i/>
          <w:sz w:val="21"/>
        </w:rPr>
        <w:t>ẓ</w:t>
      </w:r>
      <w:proofErr w:type="spellStart"/>
      <w:r>
        <w:rPr>
          <w:rFonts w:ascii="Times New Roman" w:eastAsia="Times New Roman" w:hAnsi="Times New Roman"/>
          <w:i/>
          <w:sz w:val="21"/>
        </w:rPr>
        <w:t>āhiru'r</w:t>
      </w:r>
      <w:proofErr w:type="spellEnd"/>
      <w:r>
        <w:rPr>
          <w:rFonts w:ascii="Times New Roman" w:eastAsia="Times New Roman" w:hAnsi="Times New Roman"/>
          <w:i/>
          <w:sz w:val="21"/>
        </w:rPr>
        <w:t>-</w:t>
      </w:r>
      <w:proofErr w:type="spellStart"/>
      <w:r>
        <w:rPr>
          <w:rFonts w:ascii="Times New Roman" w:eastAsia="Times New Roman" w:hAnsi="Times New Roman"/>
          <w:i/>
          <w:sz w:val="21"/>
        </w:rPr>
        <w:t>rivāye</w:t>
      </w:r>
      <w:proofErr w:type="spellEnd"/>
      <w:r>
        <w:rPr>
          <w:rFonts w:ascii="Times New Roman" w:eastAsia="Times New Roman" w:hAnsi="Times New Roman"/>
          <w:sz w:val="21"/>
        </w:rPr>
        <w:t>) telif eden</w:t>
      </w:r>
    </w:p>
    <w:p w:rsidR="00217F6C" w:rsidRDefault="00217F6C" w:rsidP="00217F6C">
      <w:pPr>
        <w:spacing w:line="20" w:lineRule="exact"/>
        <w:rPr>
          <w:rFonts w:ascii="Times New Roman" w:eastAsia="Times New Roman" w:hAnsi="Times New Roman"/>
        </w:rPr>
      </w:pPr>
      <w:r>
        <w:rPr>
          <w:rFonts w:ascii="Times New Roman" w:eastAsia="Times New Roman" w:hAnsi="Times New Roman"/>
          <w:sz w:val="21"/>
        </w:rPr>
        <w:pict>
          <v:line id="_x0000_s1028" style="position:absolute;z-index:-251656192" from="347pt,27.45pt" to="347pt,29pt" o:userdrawn="t" strokecolor="#e3e3e3" strokeweight=".08464mm"/>
        </w:pict>
      </w:r>
      <w:r>
        <w:rPr>
          <w:rFonts w:ascii="Times New Roman" w:eastAsia="Times New Roman" w:hAnsi="Times New Roman"/>
          <w:sz w:val="21"/>
        </w:rPr>
        <w:pict>
          <v:line id="_x0000_s1029" style="position:absolute;z-index:-251655168" from="91.95pt,28.15pt" to="347.15pt,28.15pt" o:userdrawn="t" strokecolor="#a0a0a0" strokeweight=".56442mm"/>
        </w:pict>
      </w:r>
      <w:r>
        <w:rPr>
          <w:rFonts w:ascii="Times New Roman" w:eastAsia="Times New Roman" w:hAnsi="Times New Roman"/>
          <w:sz w:val="21"/>
        </w:rPr>
        <w:pict>
          <v:line id="_x0000_s1030" style="position:absolute;z-index:-251654144" from="92.05pt,27.35pt" to="92.05pt,28.95pt" o:userdrawn="t" strokecolor="#a0a0a0" strokeweight=".08464mm"/>
        </w:pict>
      </w:r>
      <w:r>
        <w:rPr>
          <w:rFonts w:ascii="Times New Roman" w:eastAsia="Times New Roman" w:hAnsi="Times New Roman"/>
          <w:sz w:val="21"/>
        </w:rPr>
        <w:pict>
          <v:rect id="_x0000_s1031" style="position:absolute;margin-left:91.55pt;margin-top:28.35pt;width:1.05pt;height:1.05pt;z-index:-251653120" o:userdrawn="t" fillcolor="#a0a0a0" strokecolor="none"/>
        </w:pict>
      </w:r>
      <w:r>
        <w:rPr>
          <w:rFonts w:ascii="Times New Roman" w:eastAsia="Times New Roman" w:hAnsi="Times New Roman"/>
          <w:sz w:val="21"/>
        </w:rPr>
        <w:pict>
          <v:line id="_x0000_s1032" style="position:absolute;z-index:-251652096" from="91.95pt,28.9pt" to="347.15pt,28.9pt" o:userdrawn="t" strokecolor="#e3e3e3" strokeweight=".08464mm"/>
        </w:pict>
      </w:r>
    </w:p>
    <w:p w:rsidR="00217F6C" w:rsidRDefault="00217F6C" w:rsidP="00217F6C">
      <w:pPr>
        <w:spacing w:line="200" w:lineRule="exact"/>
        <w:rPr>
          <w:rFonts w:ascii="Times New Roman" w:eastAsia="Times New Roman" w:hAnsi="Times New Roman"/>
        </w:rPr>
      </w:pPr>
    </w:p>
    <w:p w:rsidR="00217F6C" w:rsidRDefault="00217F6C" w:rsidP="00217F6C">
      <w:pPr>
        <w:spacing w:line="200" w:lineRule="exact"/>
        <w:rPr>
          <w:rFonts w:ascii="Times New Roman" w:eastAsia="Times New Roman" w:hAnsi="Times New Roman"/>
        </w:rPr>
      </w:pPr>
    </w:p>
    <w:p w:rsidR="00217F6C" w:rsidRDefault="00217F6C" w:rsidP="00217F6C">
      <w:pPr>
        <w:spacing w:line="210" w:lineRule="exact"/>
        <w:rPr>
          <w:rFonts w:ascii="Times New Roman" w:eastAsia="Times New Roman" w:hAnsi="Times New Roman"/>
        </w:rPr>
      </w:pPr>
    </w:p>
    <w:p w:rsidR="00217F6C" w:rsidRDefault="00217F6C" w:rsidP="00217F6C">
      <w:pPr>
        <w:spacing w:line="0" w:lineRule="atLeast"/>
        <w:ind w:right="266"/>
        <w:jc w:val="center"/>
        <w:rPr>
          <w:rFonts w:ascii="Bookman Old Style" w:eastAsia="Bookman Old Style" w:hAnsi="Bookman Old Style"/>
          <w:b/>
        </w:rPr>
      </w:pPr>
      <w:proofErr w:type="spellStart"/>
      <w:r>
        <w:rPr>
          <w:rFonts w:ascii="Bookman Old Style" w:eastAsia="Bookman Old Style" w:hAnsi="Bookman Old Style"/>
          <w:b/>
        </w:rPr>
        <w:t>Turkish</w:t>
      </w:r>
      <w:proofErr w:type="spellEnd"/>
      <w:r>
        <w:rPr>
          <w:rFonts w:ascii="Bookman Old Style" w:eastAsia="Bookman Old Style" w:hAnsi="Bookman Old Style"/>
          <w:b/>
        </w:rPr>
        <w:t xml:space="preserve"> </w:t>
      </w:r>
      <w:proofErr w:type="spellStart"/>
      <w:r>
        <w:rPr>
          <w:rFonts w:ascii="Bookman Old Style" w:eastAsia="Bookman Old Style" w:hAnsi="Bookman Old Style"/>
          <w:b/>
        </w:rPr>
        <w:t>Studies</w:t>
      </w:r>
      <w:proofErr w:type="spellEnd"/>
    </w:p>
    <w:p w:rsidR="00217F6C" w:rsidRDefault="00217F6C" w:rsidP="00217F6C">
      <w:pPr>
        <w:spacing w:line="0" w:lineRule="atLeast"/>
        <w:ind w:right="266"/>
        <w:jc w:val="center"/>
        <w:rPr>
          <w:rFonts w:ascii="Bookman Old Style" w:eastAsia="Bookman Old Style" w:hAnsi="Bookman Old Style"/>
          <w:b/>
        </w:rPr>
        <w:sectPr w:rsidR="00217F6C">
          <w:pgSz w:w="11900" w:h="16838"/>
          <w:pgMar w:top="1412" w:right="1440" w:bottom="860" w:left="1420" w:header="0" w:footer="0" w:gutter="0"/>
          <w:cols w:space="0" w:equalWidth="0">
            <w:col w:w="9046"/>
          </w:cols>
          <w:docGrid w:linePitch="360"/>
        </w:sectPr>
      </w:pPr>
    </w:p>
    <w:p w:rsidR="00217F6C" w:rsidRDefault="00217F6C" w:rsidP="00217F6C">
      <w:pPr>
        <w:spacing w:line="3" w:lineRule="exact"/>
        <w:rPr>
          <w:rFonts w:ascii="Times New Roman" w:eastAsia="Times New Roman" w:hAnsi="Times New Roman"/>
        </w:rPr>
      </w:pPr>
    </w:p>
    <w:p w:rsidR="00217F6C" w:rsidRDefault="00217F6C" w:rsidP="00217F6C">
      <w:pPr>
        <w:spacing w:line="0" w:lineRule="atLeast"/>
        <w:ind w:right="266"/>
        <w:jc w:val="center"/>
        <w:rPr>
          <w:rFonts w:ascii="Times New Roman" w:eastAsia="Times New Roman" w:hAnsi="Times New Roman"/>
          <w:i/>
          <w:sz w:val="19"/>
        </w:rPr>
      </w:pPr>
      <w:proofErr w:type="spellStart"/>
      <w:r>
        <w:rPr>
          <w:rFonts w:ascii="Bookman Old Style" w:eastAsia="Bookman Old Style" w:hAnsi="Bookman Old Style"/>
          <w:i/>
          <w:sz w:val="18"/>
        </w:rPr>
        <w:t>Volume</w:t>
      </w:r>
      <w:proofErr w:type="spellEnd"/>
      <w:r>
        <w:rPr>
          <w:rFonts w:ascii="Bookman Old Style" w:eastAsia="Bookman Old Style" w:hAnsi="Bookman Old Style"/>
          <w:i/>
          <w:sz w:val="18"/>
        </w:rPr>
        <w:t xml:space="preserve"> 13/17, </w:t>
      </w:r>
      <w:proofErr w:type="spellStart"/>
      <w:r>
        <w:rPr>
          <w:rFonts w:ascii="Times New Roman" w:eastAsia="Times New Roman" w:hAnsi="Times New Roman"/>
          <w:i/>
          <w:sz w:val="19"/>
        </w:rPr>
        <w:t>Summer</w:t>
      </w:r>
      <w:proofErr w:type="spellEnd"/>
      <w:r>
        <w:rPr>
          <w:rFonts w:ascii="Times New Roman" w:eastAsia="Times New Roman" w:hAnsi="Times New Roman"/>
          <w:i/>
          <w:sz w:val="19"/>
        </w:rPr>
        <w:t xml:space="preserve"> 2018</w:t>
      </w:r>
    </w:p>
    <w:p w:rsidR="00217F6C" w:rsidRDefault="00217F6C" w:rsidP="00217F6C">
      <w:pPr>
        <w:spacing w:line="0" w:lineRule="atLeast"/>
        <w:ind w:right="266"/>
        <w:jc w:val="center"/>
        <w:rPr>
          <w:rFonts w:ascii="Times New Roman" w:eastAsia="Times New Roman" w:hAnsi="Times New Roman"/>
          <w:i/>
          <w:sz w:val="19"/>
        </w:rPr>
        <w:sectPr w:rsidR="00217F6C">
          <w:type w:val="continuous"/>
          <w:pgSz w:w="11900" w:h="16838"/>
          <w:pgMar w:top="1412" w:right="1440" w:bottom="860" w:left="1420" w:header="0" w:footer="0" w:gutter="0"/>
          <w:cols w:space="0" w:equalWidth="0">
            <w:col w:w="9046"/>
          </w:cols>
          <w:docGrid w:linePitch="360"/>
        </w:sectPr>
      </w:pPr>
    </w:p>
    <w:tbl>
      <w:tblPr>
        <w:tblW w:w="0" w:type="auto"/>
        <w:tblInd w:w="260" w:type="dxa"/>
        <w:tblLayout w:type="fixed"/>
        <w:tblCellMar>
          <w:left w:w="0" w:type="dxa"/>
          <w:right w:w="0" w:type="dxa"/>
        </w:tblCellMar>
        <w:tblLook w:val="0000"/>
      </w:tblPr>
      <w:tblGrid>
        <w:gridCol w:w="7920"/>
        <w:gridCol w:w="780"/>
      </w:tblGrid>
      <w:tr w:rsidR="00217F6C" w:rsidTr="00FF4A96">
        <w:trPr>
          <w:trHeight w:val="236"/>
        </w:trPr>
        <w:tc>
          <w:tcPr>
            <w:tcW w:w="7920" w:type="dxa"/>
            <w:shd w:val="clear" w:color="auto" w:fill="auto"/>
            <w:vAlign w:val="bottom"/>
          </w:tcPr>
          <w:p w:rsidR="00217F6C" w:rsidRDefault="00217F6C" w:rsidP="00FF4A96">
            <w:pPr>
              <w:spacing w:line="0" w:lineRule="atLeast"/>
              <w:rPr>
                <w:rFonts w:ascii="Bookman Old Style" w:eastAsia="Bookman Old Style" w:hAnsi="Bookman Old Style"/>
                <w:i/>
              </w:rPr>
            </w:pPr>
            <w:bookmarkStart w:id="0" w:name="page5"/>
            <w:bookmarkEnd w:id="0"/>
            <w:r>
              <w:rPr>
                <w:rFonts w:ascii="Bookman Old Style" w:eastAsia="Bookman Old Style" w:hAnsi="Bookman Old Style"/>
                <w:i/>
              </w:rPr>
              <w:lastRenderedPageBreak/>
              <w:t xml:space="preserve">İslam Hukuk Literatüründe Bir Müşterek Metin </w:t>
            </w:r>
            <w:proofErr w:type="spellStart"/>
            <w:r>
              <w:rPr>
                <w:rFonts w:ascii="Bookman Old Style" w:eastAsia="Bookman Old Style" w:hAnsi="Bookman Old Style"/>
                <w:i/>
              </w:rPr>
              <w:t>İnşâsı</w:t>
            </w:r>
            <w:proofErr w:type="spellEnd"/>
            <w:r>
              <w:rPr>
                <w:rFonts w:ascii="Bookman Old Style" w:eastAsia="Bookman Old Style" w:hAnsi="Bookman Old Style"/>
                <w:i/>
              </w:rPr>
              <w:t xml:space="preserve"> Örneği Olarak Şer</w:t>
            </w:r>
            <w:r>
              <w:rPr>
                <w:rFonts w:ascii="Cambria" w:eastAsia="Cambria" w:hAnsi="Cambria"/>
                <w:i/>
              </w:rPr>
              <w:t>ḥ</w:t>
            </w:r>
            <w:proofErr w:type="spellStart"/>
            <w:r>
              <w:rPr>
                <w:rFonts w:ascii="Bookman Old Style" w:eastAsia="Bookman Old Style" w:hAnsi="Bookman Old Style"/>
                <w:i/>
              </w:rPr>
              <w:t>u’s</w:t>
            </w:r>
            <w:proofErr w:type="spellEnd"/>
            <w:r>
              <w:rPr>
                <w:rFonts w:ascii="Bookman Old Style" w:eastAsia="Bookman Old Style" w:hAnsi="Bookman Old Style"/>
                <w:i/>
              </w:rPr>
              <w:t>…</w:t>
            </w:r>
          </w:p>
        </w:tc>
        <w:tc>
          <w:tcPr>
            <w:tcW w:w="780" w:type="dxa"/>
            <w:shd w:val="clear" w:color="auto" w:fill="auto"/>
            <w:vAlign w:val="bottom"/>
          </w:tcPr>
          <w:p w:rsidR="00217F6C" w:rsidRDefault="00217F6C" w:rsidP="00FF4A96">
            <w:pPr>
              <w:spacing w:line="0" w:lineRule="atLeast"/>
              <w:jc w:val="right"/>
              <w:rPr>
                <w:rFonts w:ascii="Bookman Old Style" w:eastAsia="Bookman Old Style" w:hAnsi="Bookman Old Style"/>
                <w:i/>
              </w:rPr>
            </w:pPr>
            <w:r>
              <w:rPr>
                <w:rFonts w:ascii="Bookman Old Style" w:eastAsia="Bookman Old Style" w:hAnsi="Bookman Old Style"/>
                <w:i/>
              </w:rPr>
              <w:t>293</w:t>
            </w:r>
          </w:p>
        </w:tc>
      </w:tr>
    </w:tbl>
    <w:p w:rsidR="00217F6C" w:rsidRDefault="00217F6C" w:rsidP="00217F6C">
      <w:pPr>
        <w:spacing w:line="20" w:lineRule="exact"/>
        <w:rPr>
          <w:rFonts w:ascii="Times New Roman" w:eastAsia="Times New Roman" w:hAnsi="Times New Roman"/>
        </w:rPr>
      </w:pPr>
      <w:r>
        <w:rPr>
          <w:rFonts w:ascii="Bookman Old Style" w:eastAsia="Bookman Old Style" w:hAnsi="Bookman Old Style"/>
          <w:i/>
        </w:rPr>
        <w:pict>
          <v:rect id="_x0000_s1033" style="position:absolute;margin-left:13.1pt;margin-top:10.85pt;width:439.4pt;height:1pt;z-index:-251651072;mso-position-horizontal-relative:text;mso-position-vertical-relative:text" o:userdrawn="t" fillcolor="#a0a0a0" strokecolor="none"/>
        </w:pict>
      </w:r>
    </w:p>
    <w:p w:rsidR="00217F6C" w:rsidRDefault="00217F6C" w:rsidP="00217F6C">
      <w:pPr>
        <w:spacing w:line="264" w:lineRule="exact"/>
        <w:rPr>
          <w:rFonts w:ascii="Times New Roman" w:eastAsia="Times New Roman" w:hAnsi="Times New Roman"/>
        </w:rPr>
      </w:pPr>
    </w:p>
    <w:p w:rsidR="00217F6C" w:rsidRDefault="00217F6C" w:rsidP="00217F6C">
      <w:pPr>
        <w:spacing w:line="239" w:lineRule="auto"/>
        <w:ind w:left="260"/>
        <w:jc w:val="both"/>
        <w:rPr>
          <w:rFonts w:ascii="Times New Roman" w:eastAsia="Times New Roman" w:hAnsi="Times New Roman"/>
          <w:sz w:val="22"/>
        </w:rPr>
      </w:pPr>
      <w:r>
        <w:rPr>
          <w:rFonts w:ascii="Times New Roman" w:eastAsia="Times New Roman" w:hAnsi="Times New Roman"/>
          <w:sz w:val="22"/>
        </w:rPr>
        <w:t>İmam Muhammed b. el-Hasan eş-</w:t>
      </w:r>
      <w:proofErr w:type="spellStart"/>
      <w:r>
        <w:rPr>
          <w:rFonts w:ascii="Times New Roman" w:eastAsia="Times New Roman" w:hAnsi="Times New Roman"/>
          <w:sz w:val="22"/>
        </w:rPr>
        <w:t>Şeybânî’nin</w:t>
      </w:r>
      <w:proofErr w:type="spellEnd"/>
      <w:r>
        <w:rPr>
          <w:rFonts w:ascii="Times New Roman" w:eastAsia="Times New Roman" w:hAnsi="Times New Roman"/>
          <w:sz w:val="22"/>
        </w:rPr>
        <w:t xml:space="preserve"> (ö. 189/805) </w:t>
      </w:r>
      <w:r>
        <w:rPr>
          <w:rFonts w:ascii="Times New Roman" w:eastAsia="Times New Roman" w:hAnsi="Times New Roman"/>
          <w:i/>
          <w:sz w:val="22"/>
        </w:rPr>
        <w:t>es-</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proofErr w:type="spellEnd"/>
      <w:r>
        <w:rPr>
          <w:rFonts w:ascii="Times New Roman" w:eastAsia="Times New Roman" w:hAnsi="Times New Roman"/>
          <w:sz w:val="22"/>
        </w:rPr>
        <w:t xml:space="preserve"> adlı eseri üzerine yapılmış bir şerhtir. </w:t>
      </w:r>
      <w:r>
        <w:rPr>
          <w:rFonts w:ascii="Times New Roman" w:eastAsia="Times New Roman" w:hAnsi="Times New Roman"/>
          <w:i/>
          <w:sz w:val="22"/>
        </w:rPr>
        <w:t>Şerḥ</w:t>
      </w:r>
      <w:proofErr w:type="spellStart"/>
      <w:r>
        <w:rPr>
          <w:rFonts w:ascii="Times New Roman" w:eastAsia="Times New Roman" w:hAnsi="Times New Roman"/>
          <w:i/>
          <w:sz w:val="22"/>
        </w:rPr>
        <w:t>u’s</w:t>
      </w:r>
      <w:proofErr w:type="spellEnd"/>
      <w:r>
        <w:rPr>
          <w:rFonts w:ascii="Times New Roman" w:eastAsia="Times New Roman" w:hAnsi="Times New Roman"/>
          <w:i/>
          <w:sz w:val="22"/>
        </w:rPr>
        <w:t>-</w:t>
      </w:r>
      <w:proofErr w:type="spellStart"/>
      <w:r>
        <w:rPr>
          <w:rFonts w:ascii="Times New Roman" w:eastAsia="Times New Roman" w:hAnsi="Times New Roman"/>
          <w:i/>
          <w:sz w:val="22"/>
        </w:rPr>
        <w:t>Siyeri’l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’i</w:t>
      </w:r>
      <w:proofErr w:type="spellEnd"/>
      <w:r>
        <w:rPr>
          <w:rFonts w:ascii="Times New Roman" w:eastAsia="Times New Roman" w:hAnsi="Times New Roman"/>
          <w:sz w:val="22"/>
        </w:rPr>
        <w:t xml:space="preserve"> farklı kılan özelliklerin başında eserin aslının şerh içerisinde erimiş olması gelmektedir. Yani </w:t>
      </w:r>
      <w:proofErr w:type="spellStart"/>
      <w:r>
        <w:rPr>
          <w:rFonts w:ascii="Times New Roman" w:eastAsia="Times New Roman" w:hAnsi="Times New Roman"/>
          <w:sz w:val="22"/>
        </w:rPr>
        <w:t>Serahsî</w:t>
      </w:r>
      <w:proofErr w:type="spellEnd"/>
      <w:r>
        <w:rPr>
          <w:rFonts w:ascii="Times New Roman" w:eastAsia="Times New Roman" w:hAnsi="Times New Roman"/>
          <w:sz w:val="22"/>
        </w:rPr>
        <w:t xml:space="preserve">, </w:t>
      </w:r>
      <w:r>
        <w:rPr>
          <w:rFonts w:ascii="Times New Roman" w:eastAsia="Times New Roman" w:hAnsi="Times New Roman"/>
          <w:i/>
          <w:sz w:val="22"/>
        </w:rPr>
        <w:t>es-</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’i</w:t>
      </w:r>
      <w:proofErr w:type="spellEnd"/>
      <w:r>
        <w:rPr>
          <w:rFonts w:ascii="Times New Roman" w:eastAsia="Times New Roman" w:hAnsi="Times New Roman"/>
          <w:sz w:val="22"/>
        </w:rPr>
        <w:t xml:space="preserve"> şerh ederken metin ile şerhini birbirinden ayırmamıştır. </w:t>
      </w:r>
      <w:proofErr w:type="gramStart"/>
      <w:r>
        <w:rPr>
          <w:rFonts w:ascii="Times New Roman" w:eastAsia="Times New Roman" w:hAnsi="Times New Roman"/>
          <w:i/>
          <w:sz w:val="22"/>
        </w:rPr>
        <w:t>es</w:t>
      </w:r>
      <w:proofErr w:type="gramEnd"/>
      <w:r>
        <w:rPr>
          <w:rFonts w:ascii="Times New Roman" w:eastAsia="Times New Roman" w:hAnsi="Times New Roman"/>
          <w:i/>
          <w:sz w:val="22"/>
        </w:rPr>
        <w:t>-</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'in</w:t>
      </w:r>
      <w:proofErr w:type="spellEnd"/>
      <w:r>
        <w:rPr>
          <w:rFonts w:ascii="Times New Roman" w:eastAsia="Times New Roman" w:hAnsi="Times New Roman"/>
          <w:sz w:val="22"/>
        </w:rPr>
        <w:t xml:space="preserve"> metni, - başka eserlere ait bazı şerhlerde olduğu gibi parantez içine alınarak ya da sayfa içerisinde bölümleme yapılarak - şerhinden ayrılmış değildir. Bundan dolayı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anlatımı içerisinde hangi ifadelerin kendisine hangilerinin </w:t>
      </w:r>
      <w:proofErr w:type="spellStart"/>
      <w:r>
        <w:rPr>
          <w:rFonts w:ascii="Times New Roman" w:eastAsia="Times New Roman" w:hAnsi="Times New Roman"/>
          <w:sz w:val="22"/>
        </w:rPr>
        <w:t>İmâm</w:t>
      </w:r>
      <w:proofErr w:type="spellEnd"/>
      <w:r>
        <w:rPr>
          <w:rFonts w:ascii="Times New Roman" w:eastAsia="Times New Roman" w:hAnsi="Times New Roman"/>
          <w:sz w:val="22"/>
        </w:rPr>
        <w:t xml:space="preserve"> Muhammed'e ait olduğu tam olarak belli değildir. Ayrıca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İmam </w:t>
      </w:r>
      <w:proofErr w:type="spellStart"/>
      <w:r>
        <w:rPr>
          <w:rFonts w:ascii="Times New Roman" w:eastAsia="Times New Roman" w:hAnsi="Times New Roman"/>
          <w:sz w:val="22"/>
        </w:rPr>
        <w:t>Muahammed’in</w:t>
      </w:r>
      <w:proofErr w:type="spellEnd"/>
      <w:r>
        <w:rPr>
          <w:rFonts w:ascii="Times New Roman" w:eastAsia="Times New Roman" w:hAnsi="Times New Roman"/>
          <w:sz w:val="22"/>
        </w:rPr>
        <w:t xml:space="preserve"> metnini eksiksiz bir şekilde aktarma veya şerh etme gibi bir amacının da olmadığı anlaşılmaktadır. Mesela ‘kadın ve çocuk esirlerin nesebinin ispatına dair olan </w:t>
      </w:r>
      <w:proofErr w:type="spellStart"/>
      <w:r>
        <w:rPr>
          <w:rFonts w:ascii="Times New Roman" w:eastAsia="Times New Roman" w:hAnsi="Times New Roman"/>
          <w:sz w:val="22"/>
        </w:rPr>
        <w:t>bâb</w:t>
      </w:r>
      <w:proofErr w:type="spellEnd"/>
      <w:r>
        <w:rPr>
          <w:rFonts w:ascii="Times New Roman" w:eastAsia="Times New Roman" w:hAnsi="Times New Roman"/>
          <w:sz w:val="22"/>
        </w:rPr>
        <w:t>’ ile ‘</w:t>
      </w:r>
      <w:proofErr w:type="spellStart"/>
      <w:r>
        <w:rPr>
          <w:rFonts w:ascii="Times New Roman" w:eastAsia="Times New Roman" w:hAnsi="Times New Roman"/>
          <w:sz w:val="22"/>
        </w:rPr>
        <w:t>dâru’l</w:t>
      </w:r>
      <w:proofErr w:type="spellEnd"/>
      <w:r>
        <w:rPr>
          <w:rFonts w:ascii="Times New Roman" w:eastAsia="Times New Roman" w:hAnsi="Times New Roman"/>
          <w:sz w:val="22"/>
        </w:rPr>
        <w:t>-</w:t>
      </w:r>
      <w:proofErr w:type="spellStart"/>
      <w:r>
        <w:rPr>
          <w:rFonts w:ascii="Times New Roman" w:eastAsia="Times New Roman" w:hAnsi="Times New Roman"/>
          <w:sz w:val="22"/>
        </w:rPr>
        <w:t>harb’de</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hadd</w:t>
      </w:r>
      <w:proofErr w:type="spellEnd"/>
      <w:r>
        <w:rPr>
          <w:rFonts w:ascii="Times New Roman" w:eastAsia="Times New Roman" w:hAnsi="Times New Roman"/>
          <w:sz w:val="22"/>
        </w:rPr>
        <w:t xml:space="preserve"> cezalarına dair olan </w:t>
      </w:r>
      <w:proofErr w:type="spellStart"/>
      <w:r>
        <w:rPr>
          <w:rFonts w:ascii="Times New Roman" w:eastAsia="Times New Roman" w:hAnsi="Times New Roman"/>
          <w:sz w:val="22"/>
        </w:rPr>
        <w:t>bâb</w:t>
      </w:r>
      <w:proofErr w:type="spellEnd"/>
      <w:r>
        <w:rPr>
          <w:rFonts w:ascii="Times New Roman" w:eastAsia="Times New Roman" w:hAnsi="Times New Roman"/>
          <w:sz w:val="22"/>
        </w:rPr>
        <w:t xml:space="preserve"> arasında kalan bir </w:t>
      </w:r>
      <w:proofErr w:type="spellStart"/>
      <w:r>
        <w:rPr>
          <w:rFonts w:ascii="Times New Roman" w:eastAsia="Times New Roman" w:hAnsi="Times New Roman"/>
          <w:sz w:val="22"/>
        </w:rPr>
        <w:t>bab’ı</w:t>
      </w:r>
      <w:proofErr w:type="spellEnd"/>
      <w:r>
        <w:rPr>
          <w:rFonts w:ascii="Times New Roman" w:eastAsia="Times New Roman" w:hAnsi="Times New Roman"/>
          <w:sz w:val="22"/>
        </w:rPr>
        <w:t xml:space="preserve"> atladığını bizzat kendisi ifade etmektedir. (Seraḫ</w:t>
      </w:r>
      <w:proofErr w:type="spellStart"/>
      <w:r>
        <w:rPr>
          <w:rFonts w:ascii="Times New Roman" w:eastAsia="Times New Roman" w:hAnsi="Times New Roman"/>
          <w:sz w:val="22"/>
        </w:rPr>
        <w:t>sī</w:t>
      </w:r>
      <w:proofErr w:type="spellEnd"/>
      <w:r>
        <w:rPr>
          <w:rFonts w:ascii="Times New Roman" w:eastAsia="Times New Roman" w:hAnsi="Times New Roman"/>
          <w:sz w:val="22"/>
        </w:rPr>
        <w:t xml:space="preserve">, 1997: 1/382) Buna rağmen eser, eritilmiş haliyle de olsa İmam Muhammed’in </w:t>
      </w:r>
      <w:r>
        <w:rPr>
          <w:rFonts w:ascii="Times New Roman" w:eastAsia="Times New Roman" w:hAnsi="Times New Roman"/>
          <w:i/>
          <w:sz w:val="22"/>
        </w:rPr>
        <w:t>es-</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’ini</w:t>
      </w:r>
      <w:proofErr w:type="spellEnd"/>
      <w:r>
        <w:rPr>
          <w:rFonts w:ascii="Times New Roman" w:eastAsia="Times New Roman" w:hAnsi="Times New Roman"/>
          <w:sz w:val="22"/>
        </w:rPr>
        <w:t xml:space="preserve"> nakleden yegâne kaynaktır ve bu yönüyle büyük bir kıymeti haizdir. Çünkü </w:t>
      </w:r>
      <w:r>
        <w:rPr>
          <w:rFonts w:ascii="Times New Roman" w:eastAsia="Times New Roman" w:hAnsi="Times New Roman"/>
          <w:i/>
          <w:sz w:val="22"/>
        </w:rPr>
        <w:t>es-</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proofErr w:type="spellEnd"/>
      <w:r>
        <w:rPr>
          <w:rFonts w:ascii="Times New Roman" w:eastAsia="Times New Roman" w:hAnsi="Times New Roman"/>
          <w:sz w:val="22"/>
        </w:rPr>
        <w:t xml:space="preserve"> başka bir kaynaktan elimize ulaşmamıştır. </w:t>
      </w:r>
      <w:proofErr w:type="spellStart"/>
      <w:r>
        <w:rPr>
          <w:rFonts w:ascii="Times New Roman" w:eastAsia="Times New Roman" w:hAnsi="Times New Roman"/>
          <w:sz w:val="22"/>
        </w:rPr>
        <w:t>Serahsî</w:t>
      </w:r>
      <w:proofErr w:type="spellEnd"/>
      <w:r>
        <w:rPr>
          <w:rFonts w:ascii="Times New Roman" w:eastAsia="Times New Roman" w:hAnsi="Times New Roman"/>
          <w:sz w:val="22"/>
        </w:rPr>
        <w:t xml:space="preserve">, şerhinde İmam Muhammed ile kendi yaşadığı dönem arasında geçen yaklaşık üç asırlık sürece dair de bilgiler vermektedir. Bu da eserin şerh bölümünü ayrıca değerli kılmaktadır. Her halükarda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şerhi, ilk beş asır süresince Müslümanların diğer milletlerle kurmuş olduğu siyasi ve hukuki ilişkilere dair en önemli kaynakların başında gelmektedir.</w:t>
      </w:r>
    </w:p>
    <w:p w:rsidR="00217F6C" w:rsidRDefault="00217F6C" w:rsidP="00217F6C">
      <w:pPr>
        <w:spacing w:line="139" w:lineRule="exact"/>
        <w:rPr>
          <w:rFonts w:ascii="Times New Roman" w:eastAsia="Times New Roman" w:hAnsi="Times New Roman"/>
        </w:rPr>
      </w:pPr>
    </w:p>
    <w:p w:rsidR="00217F6C" w:rsidRDefault="00217F6C" w:rsidP="00217F6C">
      <w:pPr>
        <w:spacing w:line="238" w:lineRule="auto"/>
        <w:ind w:left="260" w:firstLine="708"/>
        <w:jc w:val="both"/>
        <w:rPr>
          <w:rFonts w:ascii="Times New Roman" w:eastAsia="Times New Roman" w:hAnsi="Times New Roman"/>
          <w:sz w:val="22"/>
        </w:rPr>
      </w:pPr>
      <w:r>
        <w:rPr>
          <w:rFonts w:ascii="Times New Roman" w:eastAsia="Times New Roman" w:hAnsi="Times New Roman"/>
          <w:sz w:val="22"/>
        </w:rPr>
        <w:t xml:space="preserve">Aslında Hanefî mezhebinde </w:t>
      </w:r>
      <w:r>
        <w:rPr>
          <w:rFonts w:ascii="Times New Roman" w:eastAsia="Times New Roman" w:hAnsi="Times New Roman"/>
          <w:i/>
          <w:sz w:val="22"/>
        </w:rPr>
        <w:t>ẓ</w:t>
      </w:r>
      <w:proofErr w:type="spellStart"/>
      <w:r>
        <w:rPr>
          <w:rFonts w:ascii="Times New Roman" w:eastAsia="Times New Roman" w:hAnsi="Times New Roman"/>
          <w:i/>
          <w:sz w:val="22"/>
        </w:rPr>
        <w:t>āhiru'r</w:t>
      </w:r>
      <w:proofErr w:type="spellEnd"/>
      <w:r>
        <w:rPr>
          <w:rFonts w:ascii="Times New Roman" w:eastAsia="Times New Roman" w:hAnsi="Times New Roman"/>
          <w:i/>
          <w:sz w:val="22"/>
        </w:rPr>
        <w:t>-</w:t>
      </w:r>
      <w:proofErr w:type="spellStart"/>
      <w:r>
        <w:rPr>
          <w:rFonts w:ascii="Times New Roman" w:eastAsia="Times New Roman" w:hAnsi="Times New Roman"/>
          <w:i/>
          <w:sz w:val="22"/>
        </w:rPr>
        <w:t>rivāye</w:t>
      </w:r>
      <w:proofErr w:type="spellEnd"/>
      <w:r>
        <w:rPr>
          <w:rFonts w:ascii="Times New Roman" w:eastAsia="Times New Roman" w:hAnsi="Times New Roman"/>
          <w:sz w:val="22"/>
        </w:rPr>
        <w:t xml:space="preserve"> eserlerin şerh içerisinde eritilerek açıklanması ne </w:t>
      </w:r>
      <w:proofErr w:type="spellStart"/>
      <w:r>
        <w:rPr>
          <w:rFonts w:ascii="Times New Roman" w:eastAsia="Times New Roman" w:hAnsi="Times New Roman"/>
          <w:sz w:val="22"/>
        </w:rPr>
        <w:t>Serahsî’ye</w:t>
      </w:r>
      <w:proofErr w:type="spellEnd"/>
      <w:r>
        <w:rPr>
          <w:rFonts w:ascii="Times New Roman" w:eastAsia="Times New Roman" w:hAnsi="Times New Roman"/>
          <w:sz w:val="22"/>
        </w:rPr>
        <w:t xml:space="preserve"> ne de onun şerhine mahsustur. Örneğin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hocası </w:t>
      </w:r>
      <w:proofErr w:type="spellStart"/>
      <w:r>
        <w:rPr>
          <w:rFonts w:ascii="Times New Roman" w:eastAsia="Times New Roman" w:hAnsi="Times New Roman"/>
          <w:sz w:val="22"/>
        </w:rPr>
        <w:t>Halvânî</w:t>
      </w:r>
      <w:proofErr w:type="spellEnd"/>
      <w:r>
        <w:rPr>
          <w:rFonts w:ascii="Times New Roman" w:eastAsia="Times New Roman" w:hAnsi="Times New Roman"/>
          <w:sz w:val="22"/>
        </w:rPr>
        <w:t xml:space="preserve"> (ö. 456h.) ve </w:t>
      </w:r>
      <w:proofErr w:type="spellStart"/>
      <w:r>
        <w:rPr>
          <w:rFonts w:ascii="Times New Roman" w:eastAsia="Times New Roman" w:hAnsi="Times New Roman"/>
          <w:sz w:val="22"/>
        </w:rPr>
        <w:t>Huvâherzâde</w:t>
      </w:r>
      <w:proofErr w:type="spellEnd"/>
      <w:r>
        <w:rPr>
          <w:rFonts w:ascii="Times New Roman" w:eastAsia="Times New Roman" w:hAnsi="Times New Roman"/>
          <w:sz w:val="22"/>
        </w:rPr>
        <w:t xml:space="preserve"> (ö. 483h.) gibi </w:t>
      </w:r>
      <w:proofErr w:type="spellStart"/>
      <w:r>
        <w:rPr>
          <w:rFonts w:ascii="Times New Roman" w:eastAsia="Times New Roman" w:hAnsi="Times New Roman"/>
          <w:sz w:val="22"/>
        </w:rPr>
        <w:t>fakîhler</w:t>
      </w:r>
      <w:proofErr w:type="spellEnd"/>
      <w:r>
        <w:rPr>
          <w:rFonts w:ascii="Times New Roman" w:eastAsia="Times New Roman" w:hAnsi="Times New Roman"/>
          <w:sz w:val="22"/>
        </w:rPr>
        <w:t xml:space="preserve"> İmam Muhammed’in </w:t>
      </w:r>
      <w:r>
        <w:rPr>
          <w:rFonts w:ascii="Times New Roman" w:eastAsia="Times New Roman" w:hAnsi="Times New Roman"/>
          <w:i/>
          <w:sz w:val="22"/>
        </w:rPr>
        <w:t>el-</w:t>
      </w:r>
      <w:proofErr w:type="spellStart"/>
      <w:r>
        <w:rPr>
          <w:rFonts w:ascii="Times New Roman" w:eastAsia="Times New Roman" w:hAnsi="Times New Roman"/>
          <w:i/>
          <w:sz w:val="22"/>
        </w:rPr>
        <w:t>Mebsūt</w:t>
      </w:r>
      <w:proofErr w:type="spellEnd"/>
      <w:r>
        <w:rPr>
          <w:rFonts w:ascii="Times New Roman" w:eastAsia="Times New Roman" w:hAnsi="Times New Roman"/>
          <w:sz w:val="22"/>
        </w:rPr>
        <w:t xml:space="preserve"> (</w:t>
      </w:r>
      <w:r>
        <w:rPr>
          <w:rFonts w:ascii="Times New Roman" w:eastAsia="Times New Roman" w:hAnsi="Times New Roman"/>
          <w:i/>
          <w:sz w:val="22"/>
        </w:rPr>
        <w:t>el-ᶜAṣl</w:t>
      </w:r>
      <w:r>
        <w:rPr>
          <w:rFonts w:ascii="Times New Roman" w:eastAsia="Times New Roman" w:hAnsi="Times New Roman"/>
          <w:sz w:val="22"/>
        </w:rPr>
        <w:t xml:space="preserve">) adlı eserini şerh ederlerken eserin metni ile kendi açıklamalarını birbirine karıştırmakta bir sakınca görmemişlerdir. Hatta bu şerhler de </w:t>
      </w:r>
      <w:r>
        <w:rPr>
          <w:rFonts w:ascii="Times New Roman" w:eastAsia="Times New Roman" w:hAnsi="Times New Roman"/>
          <w:i/>
          <w:sz w:val="22"/>
        </w:rPr>
        <w:t>el-</w:t>
      </w:r>
      <w:proofErr w:type="spellStart"/>
      <w:r>
        <w:rPr>
          <w:rFonts w:ascii="Times New Roman" w:eastAsia="Times New Roman" w:hAnsi="Times New Roman"/>
          <w:i/>
          <w:sz w:val="22"/>
        </w:rPr>
        <w:t>Mebsūt</w:t>
      </w:r>
      <w:proofErr w:type="spellEnd"/>
      <w:r>
        <w:rPr>
          <w:rFonts w:ascii="Times New Roman" w:eastAsia="Times New Roman" w:hAnsi="Times New Roman"/>
          <w:sz w:val="22"/>
        </w:rPr>
        <w:t xml:space="preserve"> adıyla tanınmıştır. Aynı durum </w:t>
      </w:r>
      <w:proofErr w:type="spellStart"/>
      <w:r>
        <w:rPr>
          <w:rFonts w:ascii="Times New Roman" w:eastAsia="Times New Roman" w:hAnsi="Times New Roman"/>
          <w:sz w:val="22"/>
        </w:rPr>
        <w:t>Kâdîhan’ın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İmâm</w:t>
      </w:r>
      <w:proofErr w:type="spellEnd"/>
      <w:r>
        <w:rPr>
          <w:rFonts w:ascii="Times New Roman" w:eastAsia="Times New Roman" w:hAnsi="Times New Roman"/>
          <w:sz w:val="22"/>
        </w:rPr>
        <w:t xml:space="preserve"> Muhammed’in </w:t>
      </w:r>
      <w:r>
        <w:rPr>
          <w:rFonts w:ascii="Times New Roman" w:eastAsia="Times New Roman" w:hAnsi="Times New Roman"/>
          <w:i/>
          <w:sz w:val="22"/>
        </w:rPr>
        <w:t>el-</w:t>
      </w:r>
      <w:proofErr w:type="spellStart"/>
      <w:r>
        <w:rPr>
          <w:rFonts w:ascii="Times New Roman" w:eastAsia="Times New Roman" w:hAnsi="Times New Roman"/>
          <w:i/>
          <w:sz w:val="22"/>
        </w:rPr>
        <w:t>Cāmiu’s</w:t>
      </w:r>
      <w:proofErr w:type="spellEnd"/>
      <w:r>
        <w:rPr>
          <w:rFonts w:ascii="Times New Roman" w:eastAsia="Times New Roman" w:hAnsi="Times New Roman"/>
          <w:i/>
          <w:sz w:val="22"/>
        </w:rPr>
        <w:t>-Ṣ</w:t>
      </w:r>
      <w:proofErr w:type="spellStart"/>
      <w:r>
        <w:rPr>
          <w:rFonts w:ascii="Times New Roman" w:eastAsia="Times New Roman" w:hAnsi="Times New Roman"/>
          <w:i/>
          <w:sz w:val="22"/>
        </w:rPr>
        <w:t>aġīr</w:t>
      </w:r>
      <w:r>
        <w:rPr>
          <w:rFonts w:ascii="Times New Roman" w:eastAsia="Times New Roman" w:hAnsi="Times New Roman"/>
          <w:sz w:val="22"/>
        </w:rPr>
        <w:t>’i</w:t>
      </w:r>
      <w:proofErr w:type="spellEnd"/>
      <w:r>
        <w:rPr>
          <w:rFonts w:ascii="Times New Roman" w:eastAsia="Times New Roman" w:hAnsi="Times New Roman"/>
          <w:sz w:val="22"/>
        </w:rPr>
        <w:t xml:space="preserve"> üzerine yaptığı şerh için de geçerlidir. Bu durum öyle kanıksanmıştır ki; zaman</w:t>
      </w:r>
      <w:r>
        <w:rPr>
          <w:rFonts w:ascii="Times New Roman" w:eastAsia="Times New Roman" w:hAnsi="Times New Roman"/>
          <w:i/>
          <w:sz w:val="22"/>
        </w:rPr>
        <w:t xml:space="preserve"> </w:t>
      </w:r>
      <w:proofErr w:type="spellStart"/>
      <w:r>
        <w:rPr>
          <w:rFonts w:ascii="Times New Roman" w:eastAsia="Times New Roman" w:hAnsi="Times New Roman"/>
          <w:sz w:val="22"/>
        </w:rPr>
        <w:t>zaman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Kâdîhân</w:t>
      </w:r>
      <w:proofErr w:type="spellEnd"/>
      <w:r>
        <w:rPr>
          <w:rFonts w:ascii="Times New Roman" w:eastAsia="Times New Roman" w:hAnsi="Times New Roman"/>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Cāmiu’s</w:t>
      </w:r>
      <w:proofErr w:type="spellEnd"/>
      <w:r>
        <w:rPr>
          <w:rFonts w:ascii="Times New Roman" w:eastAsia="Times New Roman" w:hAnsi="Times New Roman"/>
          <w:i/>
          <w:sz w:val="22"/>
        </w:rPr>
        <w:t>-Ṣ</w:t>
      </w:r>
      <w:proofErr w:type="spellStart"/>
      <w:r>
        <w:rPr>
          <w:rFonts w:ascii="Times New Roman" w:eastAsia="Times New Roman" w:hAnsi="Times New Roman"/>
          <w:i/>
          <w:sz w:val="22"/>
        </w:rPr>
        <w:t>aġīr</w:t>
      </w:r>
      <w:r>
        <w:rPr>
          <w:rFonts w:ascii="Times New Roman" w:eastAsia="Times New Roman" w:hAnsi="Times New Roman"/>
          <w:sz w:val="22"/>
        </w:rPr>
        <w:t>’de</w:t>
      </w:r>
      <w:proofErr w:type="spellEnd"/>
      <w:r>
        <w:rPr>
          <w:rFonts w:ascii="Times New Roman" w:eastAsia="Times New Roman" w:hAnsi="Times New Roman"/>
          <w:sz w:val="22"/>
        </w:rPr>
        <w:t xml:space="preserve"> dedi ki’ türünden ifadeler dahi kullanılır olmuştur. Bu ifadede </w:t>
      </w:r>
      <w:r>
        <w:rPr>
          <w:rFonts w:ascii="Times New Roman" w:eastAsia="Times New Roman" w:hAnsi="Times New Roman"/>
          <w:i/>
          <w:sz w:val="22"/>
        </w:rPr>
        <w:t>el-</w:t>
      </w:r>
      <w:proofErr w:type="spellStart"/>
      <w:r>
        <w:rPr>
          <w:rFonts w:ascii="Times New Roman" w:eastAsia="Times New Roman" w:hAnsi="Times New Roman"/>
          <w:i/>
          <w:sz w:val="22"/>
        </w:rPr>
        <w:t>Cāmiu’s</w:t>
      </w:r>
      <w:proofErr w:type="spellEnd"/>
      <w:r>
        <w:rPr>
          <w:rFonts w:ascii="Times New Roman" w:eastAsia="Times New Roman" w:hAnsi="Times New Roman"/>
          <w:i/>
          <w:sz w:val="22"/>
        </w:rPr>
        <w:t>-Ṣ</w:t>
      </w:r>
      <w:proofErr w:type="spellStart"/>
      <w:r>
        <w:rPr>
          <w:rFonts w:ascii="Times New Roman" w:eastAsia="Times New Roman" w:hAnsi="Times New Roman"/>
          <w:i/>
          <w:sz w:val="22"/>
        </w:rPr>
        <w:t>aġīr</w:t>
      </w:r>
      <w:r>
        <w:rPr>
          <w:rFonts w:ascii="Times New Roman" w:eastAsia="Times New Roman" w:hAnsi="Times New Roman"/>
          <w:sz w:val="22"/>
        </w:rPr>
        <w:t>’den</w:t>
      </w:r>
      <w:proofErr w:type="spellEnd"/>
      <w:r>
        <w:rPr>
          <w:rFonts w:ascii="Times New Roman" w:eastAsia="Times New Roman" w:hAnsi="Times New Roman"/>
          <w:sz w:val="22"/>
        </w:rPr>
        <w:t xml:space="preserve"> maksat eserin kendisi değil ona yapılan şerhtir. (ᶜ</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ᵓ</w:t>
      </w:r>
      <w:proofErr w:type="spellStart"/>
      <w:r>
        <w:rPr>
          <w:rFonts w:ascii="Times New Roman" w:eastAsia="Times New Roman" w:hAnsi="Times New Roman"/>
          <w:sz w:val="22"/>
        </w:rPr>
        <w:t>Ābidīn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Trz</w:t>
      </w:r>
      <w:proofErr w:type="spellEnd"/>
      <w:r>
        <w:rPr>
          <w:rFonts w:ascii="Times New Roman" w:eastAsia="Times New Roman" w:hAnsi="Times New Roman"/>
          <w:i/>
          <w:sz w:val="22"/>
        </w:rPr>
        <w:t xml:space="preserve">: </w:t>
      </w:r>
      <w:r>
        <w:rPr>
          <w:rFonts w:ascii="Times New Roman" w:eastAsia="Times New Roman" w:hAnsi="Times New Roman"/>
          <w:sz w:val="22"/>
        </w:rPr>
        <w:t>s. 17) Hatta</w:t>
      </w:r>
      <w:r>
        <w:rPr>
          <w:rFonts w:ascii="Times New Roman" w:eastAsia="Times New Roman" w:hAnsi="Times New Roman"/>
          <w:i/>
          <w:sz w:val="22"/>
        </w:rPr>
        <w:t xml:space="preserve"> </w:t>
      </w:r>
      <w:r>
        <w:rPr>
          <w:rFonts w:ascii="Times New Roman" w:eastAsia="Times New Roman" w:hAnsi="Times New Roman"/>
          <w:sz w:val="22"/>
        </w:rPr>
        <w:t xml:space="preserve">İmam Muhammed’in </w:t>
      </w:r>
      <w:r>
        <w:rPr>
          <w:rFonts w:ascii="Times New Roman" w:eastAsia="Times New Roman" w:hAnsi="Times New Roman"/>
          <w:i/>
          <w:sz w:val="22"/>
        </w:rPr>
        <w:t>el-</w:t>
      </w:r>
      <w:proofErr w:type="spellStart"/>
      <w:r>
        <w:rPr>
          <w:rFonts w:ascii="Times New Roman" w:eastAsia="Times New Roman" w:hAnsi="Times New Roman"/>
          <w:i/>
          <w:sz w:val="22"/>
        </w:rPr>
        <w:t>Mebsūt</w:t>
      </w:r>
      <w:r>
        <w:rPr>
          <w:rFonts w:ascii="Times New Roman" w:eastAsia="Times New Roman" w:hAnsi="Times New Roman"/>
          <w:sz w:val="22"/>
        </w:rPr>
        <w:t>’unun</w:t>
      </w:r>
      <w:proofErr w:type="spellEnd"/>
      <w:r>
        <w:rPr>
          <w:rFonts w:ascii="Times New Roman" w:eastAsia="Times New Roman" w:hAnsi="Times New Roman"/>
          <w:sz w:val="22"/>
        </w:rPr>
        <w:t xml:space="preserve"> şerhi olan </w:t>
      </w:r>
      <w:proofErr w:type="spellStart"/>
      <w:r>
        <w:rPr>
          <w:rFonts w:ascii="Times New Roman" w:eastAsia="Times New Roman" w:hAnsi="Times New Roman"/>
          <w:sz w:val="22"/>
        </w:rPr>
        <w:t>Serahsî’nin</w:t>
      </w:r>
      <w:proofErr w:type="spellEnd"/>
      <w:r>
        <w:rPr>
          <w:rFonts w:ascii="Times New Roman" w:eastAsia="Times New Roman" w:hAnsi="Times New Roman"/>
          <w:sz w:val="22"/>
        </w:rPr>
        <w:t xml:space="preserve"> </w:t>
      </w:r>
      <w:r>
        <w:rPr>
          <w:rFonts w:ascii="Times New Roman" w:eastAsia="Times New Roman" w:hAnsi="Times New Roman"/>
          <w:i/>
          <w:sz w:val="22"/>
        </w:rPr>
        <w:t>el-</w:t>
      </w:r>
      <w:proofErr w:type="spellStart"/>
      <w:r>
        <w:rPr>
          <w:rFonts w:ascii="Times New Roman" w:eastAsia="Times New Roman" w:hAnsi="Times New Roman"/>
          <w:i/>
          <w:sz w:val="22"/>
        </w:rPr>
        <w:t>Mebsūt</w:t>
      </w:r>
      <w:r>
        <w:rPr>
          <w:rFonts w:ascii="Times New Roman" w:eastAsia="Times New Roman" w:hAnsi="Times New Roman"/>
          <w:sz w:val="22"/>
        </w:rPr>
        <w:t>’u</w:t>
      </w:r>
      <w:proofErr w:type="spellEnd"/>
      <w:r>
        <w:rPr>
          <w:rFonts w:ascii="Times New Roman" w:eastAsia="Times New Roman" w:hAnsi="Times New Roman"/>
          <w:sz w:val="22"/>
        </w:rPr>
        <w:t xml:space="preserve"> için de aynı durumun geçerli olduğunu söylemek akla uzak değildir.</w:t>
      </w:r>
    </w:p>
    <w:p w:rsidR="00217F6C" w:rsidRDefault="00217F6C" w:rsidP="00217F6C">
      <w:pPr>
        <w:spacing w:line="141" w:lineRule="exact"/>
        <w:rPr>
          <w:rFonts w:ascii="Times New Roman" w:eastAsia="Times New Roman" w:hAnsi="Times New Roman"/>
        </w:rPr>
      </w:pPr>
    </w:p>
    <w:p w:rsidR="00217F6C" w:rsidRDefault="00217F6C" w:rsidP="00217F6C">
      <w:pPr>
        <w:spacing w:line="238" w:lineRule="auto"/>
        <w:ind w:left="260" w:firstLine="708"/>
        <w:jc w:val="both"/>
        <w:rPr>
          <w:rFonts w:ascii="Times New Roman" w:eastAsia="Times New Roman" w:hAnsi="Times New Roman"/>
          <w:sz w:val="22"/>
        </w:rPr>
      </w:pPr>
      <w:proofErr w:type="gramStart"/>
      <w:r>
        <w:rPr>
          <w:rFonts w:ascii="Times New Roman" w:eastAsia="Times New Roman" w:hAnsi="Times New Roman"/>
          <w:i/>
          <w:sz w:val="22"/>
        </w:rPr>
        <w:t>es</w:t>
      </w:r>
      <w:proofErr w:type="gramEnd"/>
      <w:r>
        <w:rPr>
          <w:rFonts w:ascii="Times New Roman" w:eastAsia="Times New Roman" w:hAnsi="Times New Roman"/>
          <w:i/>
          <w:sz w:val="22"/>
        </w:rPr>
        <w:t>-</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'in</w:t>
      </w:r>
      <w:proofErr w:type="spellEnd"/>
      <w:r>
        <w:rPr>
          <w:rFonts w:ascii="Times New Roman" w:eastAsia="Times New Roman" w:hAnsi="Times New Roman"/>
          <w:sz w:val="22"/>
        </w:rPr>
        <w:t xml:space="preserve"> müstakil halinin ne zamandan itibaren kaybolduğu konusunda kesin bir</w:t>
      </w:r>
      <w:r>
        <w:rPr>
          <w:rFonts w:ascii="Times New Roman" w:eastAsia="Times New Roman" w:hAnsi="Times New Roman"/>
          <w:i/>
          <w:sz w:val="22"/>
        </w:rPr>
        <w:t xml:space="preserve"> </w:t>
      </w:r>
      <w:r>
        <w:rPr>
          <w:rFonts w:ascii="Times New Roman" w:eastAsia="Times New Roman" w:hAnsi="Times New Roman"/>
          <w:sz w:val="22"/>
        </w:rPr>
        <w:t xml:space="preserve">belirlemede bulunmak zordur. </w:t>
      </w:r>
      <w:proofErr w:type="spellStart"/>
      <w:r>
        <w:rPr>
          <w:rFonts w:ascii="Times New Roman" w:eastAsia="Times New Roman" w:hAnsi="Times New Roman"/>
          <w:sz w:val="22"/>
        </w:rPr>
        <w:t>Serahsî’den</w:t>
      </w:r>
      <w:proofErr w:type="spellEnd"/>
      <w:r>
        <w:rPr>
          <w:rFonts w:ascii="Times New Roman" w:eastAsia="Times New Roman" w:hAnsi="Times New Roman"/>
          <w:sz w:val="22"/>
        </w:rPr>
        <w:t xml:space="preserve"> sonra yaşayan </w:t>
      </w:r>
      <w:proofErr w:type="spellStart"/>
      <w:r>
        <w:rPr>
          <w:rFonts w:ascii="Times New Roman" w:eastAsia="Times New Roman" w:hAnsi="Times New Roman"/>
          <w:sz w:val="22"/>
        </w:rPr>
        <w:t>Semerkandî</w:t>
      </w:r>
      <w:proofErr w:type="spellEnd"/>
      <w:r>
        <w:rPr>
          <w:rFonts w:ascii="Times New Roman" w:eastAsia="Times New Roman" w:hAnsi="Times New Roman"/>
          <w:sz w:val="22"/>
        </w:rPr>
        <w:t xml:space="preserve"> (ö. 539h.) (Semerḳ</w:t>
      </w:r>
      <w:proofErr w:type="spellStart"/>
      <w:r>
        <w:rPr>
          <w:rFonts w:ascii="Times New Roman" w:eastAsia="Times New Roman" w:hAnsi="Times New Roman"/>
          <w:sz w:val="22"/>
        </w:rPr>
        <w:t>andī</w:t>
      </w:r>
      <w:proofErr w:type="spellEnd"/>
      <w:r>
        <w:rPr>
          <w:rFonts w:ascii="Times New Roman" w:eastAsia="Times New Roman" w:hAnsi="Times New Roman"/>
          <w:sz w:val="22"/>
        </w:rPr>
        <w:t xml:space="preserve">, 1984: 3/301), </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Nüceym</w:t>
      </w:r>
      <w:proofErr w:type="spellEnd"/>
      <w:r>
        <w:rPr>
          <w:rFonts w:ascii="Times New Roman" w:eastAsia="Times New Roman" w:hAnsi="Times New Roman"/>
          <w:sz w:val="22"/>
        </w:rPr>
        <w:t xml:space="preserve"> (ö. 970h.) (ᶜ</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Nuceym</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Trz</w:t>
      </w:r>
      <w:proofErr w:type="spellEnd"/>
      <w:r>
        <w:rPr>
          <w:rFonts w:ascii="Times New Roman" w:eastAsia="Times New Roman" w:hAnsi="Times New Roman"/>
          <w:sz w:val="22"/>
        </w:rPr>
        <w:t xml:space="preserve">: 7/121) ve </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Ābidîn</w:t>
      </w:r>
      <w:proofErr w:type="spellEnd"/>
      <w:r>
        <w:rPr>
          <w:rFonts w:ascii="Times New Roman" w:eastAsia="Times New Roman" w:hAnsi="Times New Roman"/>
          <w:sz w:val="22"/>
        </w:rPr>
        <w:t xml:space="preserve"> (ö. 1252h.) (ᶜ</w:t>
      </w:r>
      <w:proofErr w:type="spellStart"/>
      <w:r>
        <w:rPr>
          <w:rFonts w:ascii="Times New Roman" w:eastAsia="Times New Roman" w:hAnsi="Times New Roman"/>
          <w:sz w:val="22"/>
        </w:rPr>
        <w:t>İbn</w:t>
      </w:r>
      <w:proofErr w:type="spellEnd"/>
      <w:r>
        <w:rPr>
          <w:rFonts w:ascii="Times New Roman" w:eastAsia="Times New Roman" w:hAnsi="Times New Roman"/>
          <w:sz w:val="22"/>
        </w:rPr>
        <w:t xml:space="preserve"> ᵓ</w:t>
      </w:r>
      <w:proofErr w:type="spellStart"/>
      <w:r>
        <w:rPr>
          <w:rFonts w:ascii="Times New Roman" w:eastAsia="Times New Roman" w:hAnsi="Times New Roman"/>
          <w:sz w:val="22"/>
        </w:rPr>
        <w:t>Ābidīn</w:t>
      </w:r>
      <w:proofErr w:type="spellEnd"/>
      <w:r>
        <w:rPr>
          <w:rFonts w:ascii="Times New Roman" w:eastAsia="Times New Roman" w:hAnsi="Times New Roman"/>
          <w:sz w:val="22"/>
        </w:rPr>
        <w:t xml:space="preserve">, 2000: 4/139) gibi fakihler ‘Muhammed, </w:t>
      </w:r>
      <w:r>
        <w:rPr>
          <w:rFonts w:ascii="Times New Roman" w:eastAsia="Times New Roman" w:hAnsi="Times New Roman"/>
          <w:i/>
          <w:sz w:val="22"/>
        </w:rPr>
        <w:t>es-</w:t>
      </w:r>
      <w:proofErr w:type="spellStart"/>
      <w:r>
        <w:rPr>
          <w:rFonts w:ascii="Times New Roman" w:eastAsia="Times New Roman" w:hAnsi="Times New Roman"/>
          <w:i/>
          <w:sz w:val="22"/>
        </w:rPr>
        <w:t>Siyeru’l</w:t>
      </w:r>
      <w:proofErr w:type="spellEnd"/>
      <w:r>
        <w:rPr>
          <w:rFonts w:ascii="Times New Roman" w:eastAsia="Times New Roman" w:hAnsi="Times New Roman"/>
          <w:i/>
          <w:sz w:val="22"/>
        </w:rPr>
        <w:t>-</w:t>
      </w:r>
      <w:proofErr w:type="spellStart"/>
      <w:r>
        <w:rPr>
          <w:rFonts w:ascii="Times New Roman" w:eastAsia="Times New Roman" w:hAnsi="Times New Roman"/>
          <w:i/>
          <w:sz w:val="22"/>
        </w:rPr>
        <w:t>Kebīr</w:t>
      </w:r>
      <w:r>
        <w:rPr>
          <w:rFonts w:ascii="Times New Roman" w:eastAsia="Times New Roman" w:hAnsi="Times New Roman"/>
          <w:sz w:val="22"/>
        </w:rPr>
        <w:t>'de</w:t>
      </w:r>
      <w:proofErr w:type="spellEnd"/>
      <w:r>
        <w:rPr>
          <w:rFonts w:ascii="Times New Roman" w:eastAsia="Times New Roman" w:hAnsi="Times New Roman"/>
          <w:sz w:val="22"/>
        </w:rPr>
        <w:t xml:space="preserve"> bunu zikretmiştir’ gibi ifadelerle söz konusu esere atıfta bulunmaktadır. Fakat bu, onların eseri ilk elden gördüğü anlamına gelmemektedir. Çünkü ‘filan, filan kitapta dedi ki’ türünden ifadeler yazarlar tarafından daha önceki kitaplardan aktarılan bir nakil de olabilmektedir.</w:t>
      </w:r>
    </w:p>
    <w:p w:rsidR="00217F6C" w:rsidRDefault="00217F6C" w:rsidP="00217F6C">
      <w:pPr>
        <w:spacing w:line="136" w:lineRule="exact"/>
        <w:rPr>
          <w:rFonts w:ascii="Times New Roman" w:eastAsia="Times New Roman" w:hAnsi="Times New Roman"/>
        </w:rPr>
      </w:pPr>
    </w:p>
    <w:p w:rsidR="00217F6C" w:rsidRDefault="00217F6C" w:rsidP="00217F6C">
      <w:pPr>
        <w:spacing w:line="251" w:lineRule="auto"/>
        <w:ind w:left="260" w:firstLine="708"/>
        <w:jc w:val="both"/>
        <w:rPr>
          <w:rFonts w:ascii="Times New Roman" w:eastAsia="Times New Roman" w:hAnsi="Times New Roman"/>
          <w:sz w:val="21"/>
        </w:rPr>
      </w:pPr>
      <w:r>
        <w:rPr>
          <w:rFonts w:ascii="Times New Roman" w:eastAsia="Times New Roman" w:hAnsi="Times New Roman"/>
          <w:sz w:val="21"/>
        </w:rPr>
        <w:t xml:space="preserve">Hz. Peygamberin hayatını ve örnekliğini kapsayan </w:t>
      </w:r>
      <w:proofErr w:type="spellStart"/>
      <w:r>
        <w:rPr>
          <w:rFonts w:ascii="Times New Roman" w:eastAsia="Times New Roman" w:hAnsi="Times New Roman"/>
          <w:i/>
          <w:sz w:val="21"/>
        </w:rPr>
        <w:t>sîret</w:t>
      </w:r>
      <w:proofErr w:type="spellEnd"/>
      <w:r>
        <w:rPr>
          <w:rFonts w:ascii="Times New Roman" w:eastAsia="Times New Roman" w:hAnsi="Times New Roman"/>
          <w:sz w:val="21"/>
        </w:rPr>
        <w:t xml:space="preserve"> kavramı aynı kelimenin çoğulu olan ve Müslüman ülkelerin diğer devletlerle olan siyasî ve hukukî ilişkilerini ifade eden </w:t>
      </w:r>
      <w:proofErr w:type="gramStart"/>
      <w:r>
        <w:rPr>
          <w:rFonts w:ascii="Times New Roman" w:eastAsia="Times New Roman" w:hAnsi="Times New Roman"/>
          <w:sz w:val="21"/>
        </w:rPr>
        <w:t>Siyer</w:t>
      </w:r>
      <w:proofErr w:type="gramEnd"/>
      <w:r>
        <w:rPr>
          <w:rFonts w:ascii="Times New Roman" w:eastAsia="Times New Roman" w:hAnsi="Times New Roman"/>
          <w:sz w:val="21"/>
        </w:rPr>
        <w:t xml:space="preserve"> kavramından daha önce kullanılmıştır. Siyer kelimesinin ne zamandan itibaren bu anlamı kazandığına dair kesin bir şey söylemek zordur. (</w:t>
      </w:r>
      <w:proofErr w:type="spellStart"/>
      <w:r>
        <w:rPr>
          <w:rFonts w:ascii="Times New Roman" w:eastAsia="Times New Roman" w:hAnsi="Times New Roman"/>
          <w:sz w:val="21"/>
        </w:rPr>
        <w:t>Bouzenita</w:t>
      </w:r>
      <w:proofErr w:type="spellEnd"/>
      <w:r>
        <w:rPr>
          <w:rFonts w:ascii="Times New Roman" w:eastAsia="Times New Roman" w:hAnsi="Times New Roman"/>
          <w:sz w:val="21"/>
        </w:rPr>
        <w:t xml:space="preserve">, 2007: s. 21-22) Siyer, hicri birinci asırdan beri oturmuş olan </w:t>
      </w:r>
      <w:proofErr w:type="spellStart"/>
      <w:r>
        <w:rPr>
          <w:rFonts w:ascii="Times New Roman" w:eastAsia="Times New Roman" w:hAnsi="Times New Roman"/>
          <w:sz w:val="21"/>
        </w:rPr>
        <w:t>Megâzî</w:t>
      </w:r>
      <w:proofErr w:type="spellEnd"/>
      <w:r>
        <w:rPr>
          <w:rFonts w:ascii="Times New Roman" w:eastAsia="Times New Roman" w:hAnsi="Times New Roman"/>
          <w:sz w:val="21"/>
        </w:rPr>
        <w:t xml:space="preserve"> </w:t>
      </w:r>
      <w:proofErr w:type="gramStart"/>
      <w:r>
        <w:rPr>
          <w:rFonts w:ascii="Times New Roman" w:eastAsia="Times New Roman" w:hAnsi="Times New Roman"/>
          <w:sz w:val="21"/>
        </w:rPr>
        <w:t>literatürünün</w:t>
      </w:r>
      <w:proofErr w:type="gramEnd"/>
      <w:r>
        <w:rPr>
          <w:rFonts w:ascii="Times New Roman" w:eastAsia="Times New Roman" w:hAnsi="Times New Roman"/>
          <w:sz w:val="21"/>
        </w:rPr>
        <w:t xml:space="preserve"> daha da genişletilerek hukukî bir perspektifle ele alınması neticesinde ortaya çıkmıştır. Bu konuda ilk müstakil telifi kimin yaptığı konusunda üç isimle karşılaşmaktayız. Bunlar </w:t>
      </w:r>
      <w:proofErr w:type="spellStart"/>
      <w:r>
        <w:rPr>
          <w:rFonts w:ascii="Times New Roman" w:eastAsia="Times New Roman" w:hAnsi="Times New Roman"/>
          <w:sz w:val="21"/>
        </w:rPr>
        <w:t>Ebû</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Yûsuf</w:t>
      </w:r>
      <w:proofErr w:type="spellEnd"/>
      <w:r>
        <w:rPr>
          <w:rFonts w:ascii="Times New Roman" w:eastAsia="Times New Roman" w:hAnsi="Times New Roman"/>
          <w:sz w:val="21"/>
        </w:rPr>
        <w:t xml:space="preserve"> (ö. 182/798) (bkz; </w:t>
      </w:r>
      <w:proofErr w:type="spellStart"/>
      <w:r>
        <w:rPr>
          <w:rFonts w:ascii="Times New Roman" w:eastAsia="Times New Roman" w:hAnsi="Times New Roman"/>
          <w:sz w:val="21"/>
        </w:rPr>
        <w:t>Ebū</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Yūsuf</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Trz</w:t>
      </w:r>
      <w:proofErr w:type="spellEnd"/>
      <w:r>
        <w:rPr>
          <w:rFonts w:ascii="Times New Roman" w:eastAsia="Times New Roman" w:hAnsi="Times New Roman"/>
          <w:sz w:val="21"/>
        </w:rPr>
        <w:t xml:space="preserve">: </w:t>
      </w:r>
      <w:r>
        <w:rPr>
          <w:rFonts w:ascii="Times New Roman" w:eastAsia="Times New Roman" w:hAnsi="Times New Roman"/>
          <w:i/>
          <w:sz w:val="21"/>
        </w:rPr>
        <w:t>er-</w:t>
      </w:r>
      <w:proofErr w:type="spellStart"/>
      <w:r>
        <w:rPr>
          <w:rFonts w:ascii="Times New Roman" w:eastAsia="Times New Roman" w:hAnsi="Times New Roman"/>
          <w:i/>
          <w:sz w:val="21"/>
        </w:rPr>
        <w:t>Red</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Evzâî</w:t>
      </w:r>
      <w:proofErr w:type="spellEnd"/>
      <w:r>
        <w:rPr>
          <w:rFonts w:ascii="Times New Roman" w:eastAsia="Times New Roman" w:hAnsi="Times New Roman"/>
          <w:sz w:val="21"/>
        </w:rPr>
        <w:t xml:space="preserve"> (ö. 157/774) ve </w:t>
      </w:r>
      <w:proofErr w:type="spellStart"/>
      <w:r>
        <w:rPr>
          <w:rFonts w:ascii="Times New Roman" w:eastAsia="Times New Roman" w:hAnsi="Times New Roman"/>
          <w:sz w:val="21"/>
        </w:rPr>
        <w:t>Fezârî’dir</w:t>
      </w:r>
      <w:proofErr w:type="spellEnd"/>
      <w:r>
        <w:rPr>
          <w:rFonts w:ascii="Times New Roman" w:eastAsia="Times New Roman" w:hAnsi="Times New Roman"/>
          <w:sz w:val="21"/>
        </w:rPr>
        <w:t xml:space="preserve">. (ö. 190/806). (bkẕ: </w:t>
      </w:r>
      <w:proofErr w:type="spellStart"/>
      <w:r>
        <w:rPr>
          <w:rFonts w:ascii="Times New Roman" w:eastAsia="Times New Roman" w:hAnsi="Times New Roman"/>
          <w:sz w:val="21"/>
        </w:rPr>
        <w:t>Fe</w:t>
      </w:r>
      <w:proofErr w:type="spellEnd"/>
      <w:r>
        <w:rPr>
          <w:rFonts w:ascii="Times New Roman" w:eastAsia="Times New Roman" w:hAnsi="Times New Roman"/>
          <w:sz w:val="21"/>
        </w:rPr>
        <w:t>ẕ</w:t>
      </w:r>
      <w:proofErr w:type="spellStart"/>
      <w:r>
        <w:rPr>
          <w:rFonts w:ascii="Times New Roman" w:eastAsia="Times New Roman" w:hAnsi="Times New Roman"/>
          <w:sz w:val="21"/>
        </w:rPr>
        <w:t>ārī</w:t>
      </w:r>
      <w:proofErr w:type="spellEnd"/>
      <w:r>
        <w:rPr>
          <w:rFonts w:ascii="Times New Roman" w:eastAsia="Times New Roman" w:hAnsi="Times New Roman"/>
          <w:sz w:val="21"/>
        </w:rPr>
        <w:t xml:space="preserve">, 1987: </w:t>
      </w:r>
      <w:r>
        <w:rPr>
          <w:rFonts w:ascii="Times New Roman" w:eastAsia="Times New Roman" w:hAnsi="Times New Roman"/>
          <w:i/>
          <w:sz w:val="21"/>
        </w:rPr>
        <w:t>K. es-Siyer</w:t>
      </w:r>
      <w:r>
        <w:rPr>
          <w:rFonts w:ascii="Times New Roman" w:eastAsia="Times New Roman" w:hAnsi="Times New Roman"/>
          <w:sz w:val="21"/>
        </w:rPr>
        <w:t xml:space="preserve">) Fakat </w:t>
      </w:r>
      <w:proofErr w:type="spellStart"/>
      <w:r>
        <w:rPr>
          <w:rFonts w:ascii="Times New Roman" w:eastAsia="Times New Roman" w:hAnsi="Times New Roman"/>
          <w:sz w:val="21"/>
        </w:rPr>
        <w:t>Siyer’in</w:t>
      </w:r>
      <w:proofErr w:type="spellEnd"/>
      <w:r>
        <w:rPr>
          <w:rFonts w:ascii="Times New Roman" w:eastAsia="Times New Roman" w:hAnsi="Times New Roman"/>
          <w:sz w:val="21"/>
        </w:rPr>
        <w:t xml:space="preserve"> bir </w:t>
      </w:r>
      <w:proofErr w:type="gramStart"/>
      <w:r>
        <w:rPr>
          <w:rFonts w:ascii="Times New Roman" w:eastAsia="Times New Roman" w:hAnsi="Times New Roman"/>
          <w:sz w:val="21"/>
        </w:rPr>
        <w:t>branş</w:t>
      </w:r>
      <w:proofErr w:type="gramEnd"/>
      <w:r>
        <w:rPr>
          <w:rFonts w:ascii="Times New Roman" w:eastAsia="Times New Roman" w:hAnsi="Times New Roman"/>
          <w:sz w:val="21"/>
        </w:rPr>
        <w:t xml:space="preserve"> olarak ele alınıp genişletilmesi konusunda Hanefîlerin öncü bir konumda olduğu yadsınamaz. </w:t>
      </w:r>
      <w:proofErr w:type="spellStart"/>
      <w:r>
        <w:rPr>
          <w:rFonts w:ascii="Times New Roman" w:eastAsia="Times New Roman" w:hAnsi="Times New Roman"/>
          <w:sz w:val="21"/>
        </w:rPr>
        <w:t>Evzâî</w:t>
      </w:r>
      <w:proofErr w:type="spellEnd"/>
      <w:r>
        <w:rPr>
          <w:rFonts w:ascii="Times New Roman" w:eastAsia="Times New Roman" w:hAnsi="Times New Roman"/>
          <w:sz w:val="21"/>
        </w:rPr>
        <w:t>, yazmış olduğu eserde (</w:t>
      </w:r>
      <w:proofErr w:type="spellStart"/>
      <w:r>
        <w:rPr>
          <w:rFonts w:ascii="Times New Roman" w:eastAsia="Times New Roman" w:hAnsi="Times New Roman"/>
          <w:i/>
          <w:sz w:val="21"/>
        </w:rPr>
        <w:t>Siyeru’l</w:t>
      </w:r>
      <w:proofErr w:type="spellEnd"/>
      <w:r>
        <w:rPr>
          <w:rFonts w:ascii="Times New Roman" w:eastAsia="Times New Roman" w:hAnsi="Times New Roman"/>
          <w:i/>
          <w:sz w:val="21"/>
        </w:rPr>
        <w:t>-</w:t>
      </w:r>
      <w:proofErr w:type="spellStart"/>
      <w:r>
        <w:rPr>
          <w:rFonts w:ascii="Times New Roman" w:eastAsia="Times New Roman" w:hAnsi="Times New Roman"/>
          <w:i/>
          <w:sz w:val="21"/>
        </w:rPr>
        <w:t>Evzāī</w:t>
      </w:r>
      <w:proofErr w:type="spellEnd"/>
      <w:r>
        <w:rPr>
          <w:rFonts w:ascii="Times New Roman" w:eastAsia="Times New Roman" w:hAnsi="Times New Roman"/>
          <w:sz w:val="21"/>
        </w:rPr>
        <w:t xml:space="preserve">) başta </w:t>
      </w:r>
      <w:proofErr w:type="spellStart"/>
      <w:r>
        <w:rPr>
          <w:rFonts w:ascii="Times New Roman" w:eastAsia="Times New Roman" w:hAnsi="Times New Roman"/>
          <w:sz w:val="21"/>
        </w:rPr>
        <w:t>Ebû</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Hanîfe</w:t>
      </w:r>
      <w:proofErr w:type="spellEnd"/>
      <w:r>
        <w:rPr>
          <w:rFonts w:ascii="Times New Roman" w:eastAsia="Times New Roman" w:hAnsi="Times New Roman"/>
          <w:sz w:val="21"/>
        </w:rPr>
        <w:t xml:space="preserve"> olmak üzere Hanefîlerin bu konulardaki görüşlerini eleştirmiştir. (Şeyḫ, 2006: s. 356) Bu eleştiri, </w:t>
      </w:r>
      <w:proofErr w:type="spellStart"/>
      <w:r>
        <w:rPr>
          <w:rFonts w:ascii="Times New Roman" w:eastAsia="Times New Roman" w:hAnsi="Times New Roman"/>
          <w:sz w:val="21"/>
        </w:rPr>
        <w:t>ehl</w:t>
      </w:r>
      <w:proofErr w:type="spellEnd"/>
      <w:r>
        <w:rPr>
          <w:rFonts w:ascii="Times New Roman" w:eastAsia="Times New Roman" w:hAnsi="Times New Roman"/>
          <w:sz w:val="21"/>
        </w:rPr>
        <w:t xml:space="preserve">-i </w:t>
      </w:r>
      <w:proofErr w:type="spellStart"/>
      <w:r>
        <w:rPr>
          <w:rFonts w:ascii="Times New Roman" w:eastAsia="Times New Roman" w:hAnsi="Times New Roman"/>
          <w:sz w:val="21"/>
        </w:rPr>
        <w:t>hadîs</w:t>
      </w:r>
      <w:proofErr w:type="spellEnd"/>
      <w:r>
        <w:rPr>
          <w:rFonts w:ascii="Times New Roman" w:eastAsia="Times New Roman" w:hAnsi="Times New Roman"/>
          <w:sz w:val="21"/>
        </w:rPr>
        <w:t xml:space="preserve"> çizgisine yakın bir </w:t>
      </w:r>
      <w:proofErr w:type="gramStart"/>
      <w:r>
        <w:rPr>
          <w:rFonts w:ascii="Times New Roman" w:eastAsia="Times New Roman" w:hAnsi="Times New Roman"/>
          <w:sz w:val="21"/>
        </w:rPr>
        <w:t>alimin</w:t>
      </w:r>
      <w:proofErr w:type="gramEnd"/>
      <w:r>
        <w:rPr>
          <w:rFonts w:ascii="Times New Roman" w:eastAsia="Times New Roman" w:hAnsi="Times New Roman"/>
          <w:sz w:val="21"/>
        </w:rPr>
        <w:t xml:space="preserve"> </w:t>
      </w:r>
      <w:proofErr w:type="spellStart"/>
      <w:r>
        <w:rPr>
          <w:rFonts w:ascii="Times New Roman" w:eastAsia="Times New Roman" w:hAnsi="Times New Roman"/>
          <w:sz w:val="21"/>
        </w:rPr>
        <w:t>ehl</w:t>
      </w:r>
      <w:proofErr w:type="spellEnd"/>
      <w:r>
        <w:rPr>
          <w:rFonts w:ascii="Times New Roman" w:eastAsia="Times New Roman" w:hAnsi="Times New Roman"/>
          <w:sz w:val="21"/>
        </w:rPr>
        <w:t xml:space="preserve">-i </w:t>
      </w:r>
      <w:proofErr w:type="spellStart"/>
      <w:r>
        <w:rPr>
          <w:rFonts w:ascii="Times New Roman" w:eastAsia="Times New Roman" w:hAnsi="Times New Roman"/>
          <w:sz w:val="21"/>
        </w:rPr>
        <w:t>re’y</w:t>
      </w:r>
      <w:proofErr w:type="spellEnd"/>
      <w:r>
        <w:rPr>
          <w:rFonts w:ascii="Times New Roman" w:eastAsia="Times New Roman" w:hAnsi="Times New Roman"/>
          <w:sz w:val="21"/>
        </w:rPr>
        <w:t xml:space="preserve"> fıkhının en güçlü kanadı sayılan Hanefî mezhebine yönelik salt ilmi bir eleştirisi olmanın ötesinde anlamlar taşımaktadır: Özellikle savaş-barış, zekat, arazi gibi konularda </w:t>
      </w:r>
      <w:proofErr w:type="spellStart"/>
      <w:r>
        <w:rPr>
          <w:rFonts w:ascii="Times New Roman" w:eastAsia="Times New Roman" w:hAnsi="Times New Roman"/>
          <w:sz w:val="21"/>
        </w:rPr>
        <w:t>Evzâî’nin</w:t>
      </w:r>
      <w:proofErr w:type="spellEnd"/>
      <w:r>
        <w:rPr>
          <w:rFonts w:ascii="Times New Roman" w:eastAsia="Times New Roman" w:hAnsi="Times New Roman"/>
          <w:sz w:val="21"/>
        </w:rPr>
        <w:t xml:space="preserve"> görüşleri </w:t>
      </w:r>
      <w:proofErr w:type="spellStart"/>
      <w:r>
        <w:rPr>
          <w:rFonts w:ascii="Times New Roman" w:eastAsia="Times New Roman" w:hAnsi="Times New Roman"/>
          <w:sz w:val="21"/>
        </w:rPr>
        <w:t>Emevîler</w:t>
      </w:r>
      <w:proofErr w:type="spellEnd"/>
      <w:r>
        <w:rPr>
          <w:rFonts w:ascii="Times New Roman" w:eastAsia="Times New Roman" w:hAnsi="Times New Roman"/>
          <w:sz w:val="21"/>
        </w:rPr>
        <w:t xml:space="preserve"> tarafından adeta resmi bir mezhep olarak benimsenmiştir. (</w:t>
      </w:r>
      <w:proofErr w:type="spellStart"/>
      <w:r>
        <w:rPr>
          <w:rFonts w:ascii="Times New Roman" w:eastAsia="Times New Roman" w:hAnsi="Times New Roman"/>
          <w:sz w:val="21"/>
        </w:rPr>
        <w:t>Khadduri</w:t>
      </w:r>
      <w:proofErr w:type="spellEnd"/>
      <w:r>
        <w:rPr>
          <w:rFonts w:ascii="Times New Roman" w:eastAsia="Times New Roman" w:hAnsi="Times New Roman"/>
          <w:sz w:val="21"/>
        </w:rPr>
        <w:t xml:space="preserve">, 1966: s. 23.) </w:t>
      </w:r>
      <w:proofErr w:type="spellStart"/>
      <w:r>
        <w:rPr>
          <w:rFonts w:ascii="Times New Roman" w:eastAsia="Times New Roman" w:hAnsi="Times New Roman"/>
          <w:sz w:val="21"/>
        </w:rPr>
        <w:t>Evzâî</w:t>
      </w:r>
      <w:proofErr w:type="spellEnd"/>
      <w:r>
        <w:rPr>
          <w:rFonts w:ascii="Times New Roman" w:eastAsia="Times New Roman" w:hAnsi="Times New Roman"/>
          <w:sz w:val="21"/>
        </w:rPr>
        <w:t xml:space="preserve"> mezhebi</w:t>
      </w:r>
    </w:p>
    <w:p w:rsidR="00217F6C" w:rsidRDefault="00217F6C" w:rsidP="00217F6C">
      <w:pPr>
        <w:spacing w:line="20" w:lineRule="exact"/>
        <w:rPr>
          <w:rFonts w:ascii="Times New Roman" w:eastAsia="Times New Roman" w:hAnsi="Times New Roman"/>
        </w:rPr>
      </w:pPr>
      <w:r>
        <w:rPr>
          <w:rFonts w:ascii="Times New Roman" w:eastAsia="Times New Roman" w:hAnsi="Times New Roman"/>
          <w:sz w:val="21"/>
        </w:rPr>
        <w:pict>
          <v:line id="_x0000_s1034" style="position:absolute;z-index:-251650048" from="360.15pt,22pt" to="360.15pt,23.55pt" o:userdrawn="t" strokecolor="#e3e3e3" strokeweight=".24pt"/>
        </w:pict>
      </w:r>
      <w:r>
        <w:rPr>
          <w:rFonts w:ascii="Times New Roman" w:eastAsia="Times New Roman" w:hAnsi="Times New Roman"/>
          <w:sz w:val="21"/>
        </w:rPr>
        <w:pict>
          <v:line id="_x0000_s1035" style="position:absolute;z-index:-251649024" from="105.1pt,22.65pt" to="360.3pt,22.65pt" o:userdrawn="t" strokecolor="#a0a0a0" strokeweight=".56442mm"/>
        </w:pict>
      </w:r>
      <w:r>
        <w:rPr>
          <w:rFonts w:ascii="Times New Roman" w:eastAsia="Times New Roman" w:hAnsi="Times New Roman"/>
          <w:sz w:val="21"/>
        </w:rPr>
        <w:pict>
          <v:line id="_x0000_s1036" style="position:absolute;z-index:-251648000" from="105.25pt,21.85pt" to="105.25pt,23.45pt" o:userdrawn="t" strokecolor="#a0a0a0" strokeweight=".24pt"/>
        </w:pict>
      </w:r>
      <w:r>
        <w:rPr>
          <w:rFonts w:ascii="Times New Roman" w:eastAsia="Times New Roman" w:hAnsi="Times New Roman"/>
          <w:sz w:val="21"/>
        </w:rPr>
        <w:pict>
          <v:rect id="_x0000_s1037" style="position:absolute;margin-left:104.7pt;margin-top:22.9pt;width:1.05pt;height:1.05pt;z-index:-251646976" o:userdrawn="t" fillcolor="#a0a0a0" strokecolor="none"/>
        </w:pict>
      </w:r>
      <w:r>
        <w:rPr>
          <w:rFonts w:ascii="Times New Roman" w:eastAsia="Times New Roman" w:hAnsi="Times New Roman"/>
          <w:sz w:val="21"/>
        </w:rPr>
        <w:pict>
          <v:line id="_x0000_s1038" style="position:absolute;z-index:-251645952" from="105.1pt,23.45pt" to="360.3pt,23.45pt" o:userdrawn="t" strokecolor="#e3e3e3" strokeweight=".08464mm"/>
        </w:pict>
      </w:r>
    </w:p>
    <w:p w:rsidR="00217F6C" w:rsidRDefault="00217F6C" w:rsidP="00217F6C">
      <w:pPr>
        <w:spacing w:line="200" w:lineRule="exact"/>
        <w:rPr>
          <w:rFonts w:ascii="Times New Roman" w:eastAsia="Times New Roman" w:hAnsi="Times New Roman"/>
        </w:rPr>
      </w:pPr>
    </w:p>
    <w:p w:rsidR="00217F6C" w:rsidRDefault="00217F6C" w:rsidP="00217F6C">
      <w:pPr>
        <w:spacing w:line="301" w:lineRule="exact"/>
        <w:rPr>
          <w:rFonts w:ascii="Times New Roman" w:eastAsia="Times New Roman" w:hAnsi="Times New Roman"/>
        </w:rPr>
      </w:pPr>
    </w:p>
    <w:p w:rsidR="00217F6C" w:rsidRDefault="00217F6C" w:rsidP="00217F6C">
      <w:pPr>
        <w:spacing w:line="0" w:lineRule="atLeast"/>
        <w:ind w:right="-239"/>
        <w:jc w:val="center"/>
        <w:rPr>
          <w:rFonts w:ascii="Bookman Old Style" w:eastAsia="Bookman Old Style" w:hAnsi="Bookman Old Style"/>
          <w:b/>
        </w:rPr>
      </w:pPr>
      <w:proofErr w:type="spellStart"/>
      <w:r>
        <w:rPr>
          <w:rFonts w:ascii="Bookman Old Style" w:eastAsia="Bookman Old Style" w:hAnsi="Bookman Old Style"/>
          <w:b/>
        </w:rPr>
        <w:t>Turkish</w:t>
      </w:r>
      <w:proofErr w:type="spellEnd"/>
      <w:r>
        <w:rPr>
          <w:rFonts w:ascii="Bookman Old Style" w:eastAsia="Bookman Old Style" w:hAnsi="Bookman Old Style"/>
          <w:b/>
        </w:rPr>
        <w:t xml:space="preserve"> </w:t>
      </w:r>
      <w:proofErr w:type="spellStart"/>
      <w:r>
        <w:rPr>
          <w:rFonts w:ascii="Bookman Old Style" w:eastAsia="Bookman Old Style" w:hAnsi="Bookman Old Style"/>
          <w:b/>
        </w:rPr>
        <w:t>Studies</w:t>
      </w:r>
      <w:proofErr w:type="spellEnd"/>
    </w:p>
    <w:p w:rsidR="00217F6C" w:rsidRDefault="00217F6C" w:rsidP="00217F6C">
      <w:pPr>
        <w:spacing w:line="0" w:lineRule="atLeast"/>
        <w:ind w:right="-239"/>
        <w:jc w:val="center"/>
        <w:rPr>
          <w:rFonts w:ascii="Bookman Old Style" w:eastAsia="Bookman Old Style" w:hAnsi="Bookman Old Style"/>
          <w:b/>
        </w:rPr>
        <w:sectPr w:rsidR="00217F6C">
          <w:pgSz w:w="11900" w:h="16838"/>
          <w:pgMar w:top="1413" w:right="1406" w:bottom="860" w:left="1440" w:header="0" w:footer="0" w:gutter="0"/>
          <w:cols w:space="0" w:equalWidth="0">
            <w:col w:w="9060"/>
          </w:cols>
          <w:docGrid w:linePitch="360"/>
        </w:sectPr>
      </w:pPr>
    </w:p>
    <w:p w:rsidR="00217F6C" w:rsidRDefault="00217F6C" w:rsidP="00217F6C">
      <w:pPr>
        <w:spacing w:line="3" w:lineRule="exact"/>
        <w:rPr>
          <w:rFonts w:ascii="Times New Roman" w:eastAsia="Times New Roman" w:hAnsi="Times New Roman"/>
        </w:rPr>
      </w:pPr>
    </w:p>
    <w:p w:rsidR="00217F6C" w:rsidRDefault="00217F6C" w:rsidP="00217F6C">
      <w:pPr>
        <w:spacing w:line="0" w:lineRule="atLeast"/>
        <w:ind w:right="-239"/>
        <w:jc w:val="center"/>
        <w:rPr>
          <w:rFonts w:ascii="Times New Roman" w:eastAsia="Times New Roman" w:hAnsi="Times New Roman"/>
          <w:i/>
          <w:sz w:val="19"/>
        </w:rPr>
      </w:pPr>
      <w:proofErr w:type="spellStart"/>
      <w:r>
        <w:rPr>
          <w:rFonts w:ascii="Bookman Old Style" w:eastAsia="Bookman Old Style" w:hAnsi="Bookman Old Style"/>
          <w:i/>
          <w:sz w:val="18"/>
        </w:rPr>
        <w:t>Volume</w:t>
      </w:r>
      <w:proofErr w:type="spellEnd"/>
      <w:r>
        <w:rPr>
          <w:rFonts w:ascii="Bookman Old Style" w:eastAsia="Bookman Old Style" w:hAnsi="Bookman Old Style"/>
          <w:i/>
          <w:sz w:val="18"/>
        </w:rPr>
        <w:t xml:space="preserve"> 13/17, </w:t>
      </w:r>
      <w:proofErr w:type="spellStart"/>
      <w:r>
        <w:rPr>
          <w:rFonts w:ascii="Times New Roman" w:eastAsia="Times New Roman" w:hAnsi="Times New Roman"/>
          <w:i/>
          <w:sz w:val="19"/>
        </w:rPr>
        <w:t>Summer</w:t>
      </w:r>
      <w:proofErr w:type="spellEnd"/>
      <w:r>
        <w:rPr>
          <w:rFonts w:ascii="Times New Roman" w:eastAsia="Times New Roman" w:hAnsi="Times New Roman"/>
          <w:i/>
          <w:sz w:val="19"/>
        </w:rPr>
        <w:t xml:space="preserve"> 2018</w:t>
      </w:r>
    </w:p>
    <w:p w:rsidR="00217F6C" w:rsidRDefault="00217F6C" w:rsidP="00217F6C">
      <w:pPr>
        <w:spacing w:line="0" w:lineRule="atLeast"/>
        <w:ind w:right="-239"/>
        <w:jc w:val="center"/>
        <w:rPr>
          <w:rFonts w:ascii="Times New Roman" w:eastAsia="Times New Roman" w:hAnsi="Times New Roman"/>
          <w:i/>
          <w:sz w:val="19"/>
        </w:rPr>
        <w:sectPr w:rsidR="00217F6C">
          <w:type w:val="continuous"/>
          <w:pgSz w:w="11900" w:h="16838"/>
          <w:pgMar w:top="1413" w:right="1406" w:bottom="860" w:left="1440" w:header="0" w:footer="0" w:gutter="0"/>
          <w:cols w:space="0" w:equalWidth="0">
            <w:col w:w="9060"/>
          </w:cols>
          <w:docGrid w:linePitch="360"/>
        </w:sectPr>
      </w:pPr>
    </w:p>
    <w:p w:rsidR="00217F6C" w:rsidRDefault="00217F6C" w:rsidP="00217F6C">
      <w:pPr>
        <w:tabs>
          <w:tab w:val="left" w:pos="7380"/>
        </w:tabs>
        <w:spacing w:line="0" w:lineRule="atLeast"/>
        <w:rPr>
          <w:rFonts w:ascii="Bookman Old Style" w:eastAsia="Bookman Old Style" w:hAnsi="Bookman Old Style"/>
          <w:i/>
        </w:rPr>
      </w:pPr>
      <w:bookmarkStart w:id="1" w:name="page6"/>
      <w:bookmarkEnd w:id="1"/>
      <w:r>
        <w:rPr>
          <w:rFonts w:ascii="Bookman Old Style" w:eastAsia="Bookman Old Style" w:hAnsi="Bookman Old Style"/>
          <w:i/>
        </w:rPr>
        <w:lastRenderedPageBreak/>
        <w:t>294</w:t>
      </w:r>
      <w:r>
        <w:rPr>
          <w:rFonts w:ascii="Times New Roman" w:eastAsia="Times New Roman" w:hAnsi="Times New Roman"/>
        </w:rPr>
        <w:tab/>
      </w:r>
      <w:proofErr w:type="spellStart"/>
      <w:r>
        <w:rPr>
          <w:rFonts w:ascii="Bookman Old Style" w:eastAsia="Bookman Old Style" w:hAnsi="Bookman Old Style"/>
          <w:i/>
        </w:rPr>
        <w:t>Oğuzhan</w:t>
      </w:r>
      <w:proofErr w:type="spellEnd"/>
      <w:r>
        <w:rPr>
          <w:rFonts w:ascii="Bookman Old Style" w:eastAsia="Bookman Old Style" w:hAnsi="Bookman Old Style"/>
          <w:i/>
        </w:rPr>
        <w:t xml:space="preserve"> TAN</w:t>
      </w:r>
    </w:p>
    <w:p w:rsidR="00217F6C" w:rsidRDefault="00217F6C" w:rsidP="00217F6C">
      <w:pPr>
        <w:spacing w:line="20" w:lineRule="exact"/>
        <w:rPr>
          <w:rFonts w:ascii="Times New Roman" w:eastAsia="Times New Roman" w:hAnsi="Times New Roman"/>
        </w:rPr>
      </w:pPr>
      <w:r>
        <w:rPr>
          <w:rFonts w:ascii="Bookman Old Style" w:eastAsia="Bookman Old Style" w:hAnsi="Bookman Old Style"/>
          <w:i/>
        </w:rPr>
        <w:pict>
          <v:rect id="_x0000_s1039" style="position:absolute;margin-left:-.05pt;margin-top:11pt;width:439.35pt;height:.95pt;z-index:-251644928" o:userdrawn="t" fillcolor="#a0a0a0" strokecolor="none"/>
        </w:pict>
      </w:r>
    </w:p>
    <w:p w:rsidR="00217F6C" w:rsidRDefault="00217F6C" w:rsidP="00217F6C">
      <w:pPr>
        <w:spacing w:line="267" w:lineRule="exact"/>
        <w:rPr>
          <w:rFonts w:ascii="Times New Roman" w:eastAsia="Times New Roman" w:hAnsi="Times New Roman"/>
        </w:rPr>
      </w:pPr>
    </w:p>
    <w:p w:rsidR="00217F6C" w:rsidRDefault="00217F6C" w:rsidP="00217F6C">
      <w:pPr>
        <w:spacing w:line="239" w:lineRule="auto"/>
        <w:ind w:right="246"/>
        <w:jc w:val="both"/>
        <w:rPr>
          <w:rFonts w:ascii="Times New Roman" w:eastAsia="Times New Roman" w:hAnsi="Times New Roman"/>
          <w:sz w:val="22"/>
        </w:rPr>
      </w:pPr>
      <w:proofErr w:type="gramStart"/>
      <w:r>
        <w:rPr>
          <w:rFonts w:ascii="Times New Roman" w:eastAsia="Times New Roman" w:hAnsi="Times New Roman"/>
          <w:sz w:val="22"/>
        </w:rPr>
        <w:t>sadece</w:t>
      </w:r>
      <w:proofErr w:type="gramEnd"/>
      <w:r>
        <w:rPr>
          <w:rFonts w:ascii="Times New Roman" w:eastAsia="Times New Roman" w:hAnsi="Times New Roman"/>
          <w:sz w:val="22"/>
        </w:rPr>
        <w:t xml:space="preserve"> devlet nezdinde değil aynı zamanda </w:t>
      </w:r>
      <w:proofErr w:type="spellStart"/>
      <w:r>
        <w:rPr>
          <w:rFonts w:ascii="Times New Roman" w:eastAsia="Times New Roman" w:hAnsi="Times New Roman"/>
          <w:sz w:val="22"/>
        </w:rPr>
        <w:t>Emevîlerin</w:t>
      </w:r>
      <w:proofErr w:type="spellEnd"/>
      <w:r>
        <w:rPr>
          <w:rFonts w:ascii="Times New Roman" w:eastAsia="Times New Roman" w:hAnsi="Times New Roman"/>
          <w:sz w:val="22"/>
        </w:rPr>
        <w:t xml:space="preserve"> başkenti olan </w:t>
      </w:r>
      <w:proofErr w:type="spellStart"/>
      <w:r>
        <w:rPr>
          <w:rFonts w:ascii="Times New Roman" w:eastAsia="Times New Roman" w:hAnsi="Times New Roman"/>
          <w:sz w:val="22"/>
        </w:rPr>
        <w:t>Şâm’da</w:t>
      </w:r>
      <w:proofErr w:type="spellEnd"/>
      <w:r>
        <w:rPr>
          <w:rFonts w:ascii="Times New Roman" w:eastAsia="Times New Roman" w:hAnsi="Times New Roman"/>
          <w:sz w:val="22"/>
        </w:rPr>
        <w:t xml:space="preserve"> halk nezdinde de çok geniş ölçüde kabul görmüştür. (Şeyḫ, 2006: 235) Diğer taraftan </w:t>
      </w:r>
      <w:proofErr w:type="spellStart"/>
      <w:r>
        <w:rPr>
          <w:rFonts w:ascii="Times New Roman" w:eastAsia="Times New Roman" w:hAnsi="Times New Roman"/>
          <w:sz w:val="22"/>
        </w:rPr>
        <w:t>Emevîlerin</w:t>
      </w:r>
      <w:proofErr w:type="spellEnd"/>
      <w:r>
        <w:rPr>
          <w:rFonts w:ascii="Times New Roman" w:eastAsia="Times New Roman" w:hAnsi="Times New Roman"/>
          <w:sz w:val="22"/>
        </w:rPr>
        <w:t xml:space="preserve"> hemen ardından Bağdat merkezli Abbasî devleti de aynı konularda Hanefîlerin görüşlerini esas almışlardır. Bu nedenle </w:t>
      </w:r>
      <w:proofErr w:type="spellStart"/>
      <w:r>
        <w:rPr>
          <w:rFonts w:ascii="Times New Roman" w:eastAsia="Times New Roman" w:hAnsi="Times New Roman"/>
          <w:sz w:val="22"/>
        </w:rPr>
        <w:t>Evzâî</w:t>
      </w:r>
      <w:proofErr w:type="spellEnd"/>
      <w:r>
        <w:rPr>
          <w:rFonts w:ascii="Times New Roman" w:eastAsia="Times New Roman" w:hAnsi="Times New Roman"/>
          <w:sz w:val="22"/>
        </w:rPr>
        <w:t xml:space="preserve"> ile Hanefî imamlar arasında siyer etrafında gerçekleşen bu fikir ayrılığının ekol farklılığı yanında zamanın siyasi koşullarıyla da ilişkili olduğu göz ardı edilmemelidir.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Evzâi'nin</w:t>
      </w:r>
      <w:proofErr w:type="spellEnd"/>
      <w:r>
        <w:rPr>
          <w:rFonts w:ascii="Times New Roman" w:eastAsia="Times New Roman" w:hAnsi="Times New Roman"/>
          <w:sz w:val="22"/>
        </w:rPr>
        <w:t xml:space="preserve"> eleştirilerine cevap vermek amacıyla </w:t>
      </w:r>
      <w:r>
        <w:rPr>
          <w:rFonts w:ascii="Times New Roman" w:eastAsia="Times New Roman" w:hAnsi="Times New Roman"/>
          <w:i/>
          <w:sz w:val="22"/>
        </w:rPr>
        <w:t>er-</w:t>
      </w:r>
      <w:proofErr w:type="spellStart"/>
      <w:r>
        <w:rPr>
          <w:rFonts w:ascii="Times New Roman" w:eastAsia="Times New Roman" w:hAnsi="Times New Roman"/>
          <w:i/>
          <w:sz w:val="22"/>
        </w:rPr>
        <w:t>Red</w:t>
      </w:r>
      <w:proofErr w:type="spellEnd"/>
      <w:r>
        <w:rPr>
          <w:rFonts w:ascii="Times New Roman" w:eastAsia="Times New Roman" w:hAnsi="Times New Roman"/>
          <w:i/>
          <w:sz w:val="22"/>
        </w:rPr>
        <w:t xml:space="preserve"> ᵓalā </w:t>
      </w:r>
      <w:proofErr w:type="spellStart"/>
      <w:r>
        <w:rPr>
          <w:rFonts w:ascii="Times New Roman" w:eastAsia="Times New Roman" w:hAnsi="Times New Roman"/>
          <w:i/>
          <w:sz w:val="22"/>
        </w:rPr>
        <w:t>Siyeri’l</w:t>
      </w:r>
      <w:proofErr w:type="spellEnd"/>
      <w:r>
        <w:rPr>
          <w:rFonts w:ascii="Times New Roman" w:eastAsia="Times New Roman" w:hAnsi="Times New Roman"/>
          <w:i/>
          <w:sz w:val="22"/>
        </w:rPr>
        <w:t>-Evẕ</w:t>
      </w:r>
      <w:proofErr w:type="spellStart"/>
      <w:r>
        <w:rPr>
          <w:rFonts w:ascii="Times New Roman" w:eastAsia="Times New Roman" w:hAnsi="Times New Roman"/>
          <w:i/>
          <w:sz w:val="22"/>
        </w:rPr>
        <w:t>āī</w:t>
      </w:r>
      <w:proofErr w:type="spellEnd"/>
      <w:r>
        <w:rPr>
          <w:rFonts w:ascii="Times New Roman" w:eastAsia="Times New Roman" w:hAnsi="Times New Roman"/>
          <w:sz w:val="22"/>
        </w:rPr>
        <w:t xml:space="preserve"> adlı eserini yazmıştır. </w:t>
      </w:r>
      <w:proofErr w:type="spellStart"/>
      <w:r>
        <w:rPr>
          <w:rFonts w:ascii="Times New Roman" w:eastAsia="Times New Roman" w:hAnsi="Times New Roman"/>
          <w:sz w:val="22"/>
        </w:rPr>
        <w:t>Evzâî’nin</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Siyer’i</w:t>
      </w:r>
      <w:proofErr w:type="spellEnd"/>
      <w:r>
        <w:rPr>
          <w:rFonts w:ascii="Times New Roman" w:eastAsia="Times New Roman" w:hAnsi="Times New Roman"/>
          <w:sz w:val="22"/>
        </w:rPr>
        <w:t xml:space="preserve"> günümüze kadar ulaşmış değildir. Fakat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Yusuf’un reddiyesi üzerinden onun siyer ile ilgili görüşlerine sınırlı da olsa ulaşabilmekteyiz. İmam Muhammed de </w:t>
      </w:r>
      <w:r>
        <w:rPr>
          <w:rFonts w:ascii="Times New Roman" w:eastAsia="Times New Roman" w:hAnsi="Times New Roman"/>
          <w:i/>
          <w:sz w:val="22"/>
        </w:rPr>
        <w:t>es-Siyer</w:t>
      </w:r>
      <w:r>
        <w:rPr>
          <w:rFonts w:ascii="Times New Roman" w:eastAsia="Times New Roman" w:hAnsi="Times New Roman"/>
          <w:sz w:val="22"/>
        </w:rPr>
        <w:t xml:space="preserve"> adında bir eser telif etmiştir. Zaman içinde </w:t>
      </w:r>
      <w:proofErr w:type="spellStart"/>
      <w:r>
        <w:rPr>
          <w:rFonts w:ascii="Times New Roman" w:eastAsia="Times New Roman" w:hAnsi="Times New Roman"/>
          <w:sz w:val="22"/>
        </w:rPr>
        <w:t>sağîr</w:t>
      </w:r>
      <w:proofErr w:type="spellEnd"/>
      <w:r>
        <w:rPr>
          <w:rFonts w:ascii="Times New Roman" w:eastAsia="Times New Roman" w:hAnsi="Times New Roman"/>
          <w:sz w:val="22"/>
        </w:rPr>
        <w:t xml:space="preserve"> sıfatı da eklenerek anılacak olan bu eserde </w:t>
      </w:r>
      <w:proofErr w:type="spellStart"/>
      <w:r>
        <w:rPr>
          <w:rFonts w:ascii="Times New Roman" w:eastAsia="Times New Roman" w:hAnsi="Times New Roman"/>
          <w:sz w:val="22"/>
        </w:rPr>
        <w:t>İmâm</w:t>
      </w:r>
      <w:proofErr w:type="spellEnd"/>
      <w:r>
        <w:rPr>
          <w:rFonts w:ascii="Times New Roman" w:eastAsia="Times New Roman" w:hAnsi="Times New Roman"/>
          <w:sz w:val="22"/>
        </w:rPr>
        <w:t xml:space="preserve"> Muhammed,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Hanîfe’nin</w:t>
      </w:r>
      <w:proofErr w:type="spellEnd"/>
      <w:r>
        <w:rPr>
          <w:rFonts w:ascii="Times New Roman" w:eastAsia="Times New Roman" w:hAnsi="Times New Roman"/>
          <w:sz w:val="22"/>
        </w:rPr>
        <w:t xml:space="preserve"> siyerle ilgili görüşlerini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Yûsuf’un</w:t>
      </w:r>
      <w:proofErr w:type="spellEnd"/>
      <w:r>
        <w:rPr>
          <w:rFonts w:ascii="Times New Roman" w:eastAsia="Times New Roman" w:hAnsi="Times New Roman"/>
          <w:sz w:val="22"/>
        </w:rPr>
        <w:t xml:space="preserve"> öğrendiği şekliyle aktarmıştır. Zira imam Muhammed, Ebu </w:t>
      </w:r>
      <w:proofErr w:type="spellStart"/>
      <w:r>
        <w:rPr>
          <w:rFonts w:ascii="Times New Roman" w:eastAsia="Times New Roman" w:hAnsi="Times New Roman"/>
          <w:sz w:val="22"/>
        </w:rPr>
        <w:t>Hanîfe'nin</w:t>
      </w:r>
      <w:proofErr w:type="spellEnd"/>
      <w:r>
        <w:rPr>
          <w:rFonts w:ascii="Times New Roman" w:eastAsia="Times New Roman" w:hAnsi="Times New Roman"/>
          <w:sz w:val="22"/>
        </w:rPr>
        <w:t xml:space="preserve"> vefatından sonra fıkıh tahsiline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Yusuf’tan dinlediği derslerle devam etmiştir. (</w:t>
      </w:r>
      <w:proofErr w:type="spellStart"/>
      <w:r>
        <w:rPr>
          <w:rFonts w:ascii="Times New Roman" w:eastAsia="Times New Roman" w:hAnsi="Times New Roman"/>
          <w:sz w:val="22"/>
        </w:rPr>
        <w:t>Kevs̱erī</w:t>
      </w:r>
      <w:proofErr w:type="spellEnd"/>
      <w:r>
        <w:rPr>
          <w:rFonts w:ascii="Times New Roman" w:eastAsia="Times New Roman" w:hAnsi="Times New Roman"/>
          <w:sz w:val="22"/>
        </w:rPr>
        <w:t xml:space="preserve">, 1998: s. 35)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Hanife’nin siyere dair görüşlerini de daha çok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w:t>
      </w:r>
      <w:proofErr w:type="spellEnd"/>
      <w:r>
        <w:rPr>
          <w:rFonts w:ascii="Times New Roman" w:eastAsia="Times New Roman" w:hAnsi="Times New Roman"/>
          <w:sz w:val="22"/>
        </w:rPr>
        <w:t xml:space="preserve"> vasıtasıyla öğrenmiştir. Hanefî </w:t>
      </w:r>
      <w:proofErr w:type="gramStart"/>
      <w:r>
        <w:rPr>
          <w:rFonts w:ascii="Times New Roman" w:eastAsia="Times New Roman" w:hAnsi="Times New Roman"/>
          <w:sz w:val="22"/>
        </w:rPr>
        <w:t>literatür</w:t>
      </w:r>
      <w:proofErr w:type="gramEnd"/>
      <w:r>
        <w:rPr>
          <w:rFonts w:ascii="Times New Roman" w:eastAsia="Times New Roman" w:hAnsi="Times New Roman"/>
          <w:sz w:val="22"/>
        </w:rPr>
        <w:t xml:space="preserve"> </w:t>
      </w:r>
      <w:proofErr w:type="spellStart"/>
      <w:r>
        <w:rPr>
          <w:rFonts w:ascii="Times New Roman" w:eastAsia="Times New Roman" w:hAnsi="Times New Roman"/>
          <w:sz w:val="22"/>
        </w:rPr>
        <w:t>ıstılahatında</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İmâm</w:t>
      </w:r>
      <w:proofErr w:type="spellEnd"/>
      <w:r>
        <w:rPr>
          <w:rFonts w:ascii="Times New Roman" w:eastAsia="Times New Roman" w:hAnsi="Times New Roman"/>
          <w:sz w:val="22"/>
        </w:rPr>
        <w:t xml:space="preserve"> Muhammed'in gerek eser adlarında gerekse bazı kitaplarındaki bolüm adlarında yer alan </w:t>
      </w:r>
      <w:r>
        <w:rPr>
          <w:rFonts w:ascii="Times New Roman" w:eastAsia="Times New Roman" w:hAnsi="Times New Roman"/>
          <w:i/>
          <w:sz w:val="22"/>
        </w:rPr>
        <w:t>el-</w:t>
      </w:r>
      <w:proofErr w:type="spellStart"/>
      <w:r>
        <w:rPr>
          <w:rFonts w:ascii="Times New Roman" w:eastAsia="Times New Roman" w:hAnsi="Times New Roman"/>
          <w:i/>
          <w:sz w:val="22"/>
        </w:rPr>
        <w:t>kebîr</w:t>
      </w:r>
      <w:proofErr w:type="spellEnd"/>
      <w:r>
        <w:rPr>
          <w:rFonts w:ascii="Times New Roman" w:eastAsia="Times New Roman" w:hAnsi="Times New Roman"/>
          <w:sz w:val="22"/>
        </w:rPr>
        <w:t xml:space="preserve"> ve </w:t>
      </w:r>
      <w:r>
        <w:rPr>
          <w:rFonts w:ascii="Times New Roman" w:eastAsia="Times New Roman" w:hAnsi="Times New Roman"/>
          <w:i/>
          <w:sz w:val="22"/>
        </w:rPr>
        <w:t>es-</w:t>
      </w:r>
      <w:proofErr w:type="spellStart"/>
      <w:r>
        <w:rPr>
          <w:rFonts w:ascii="Times New Roman" w:eastAsia="Times New Roman" w:hAnsi="Times New Roman"/>
          <w:i/>
          <w:sz w:val="22"/>
        </w:rPr>
        <w:t>sağîr</w:t>
      </w:r>
      <w:proofErr w:type="spellEnd"/>
      <w:r>
        <w:rPr>
          <w:rFonts w:ascii="Times New Roman" w:eastAsia="Times New Roman" w:hAnsi="Times New Roman"/>
          <w:sz w:val="22"/>
        </w:rPr>
        <w:t xml:space="preserve"> sıfatları da onun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Hanîfe</w:t>
      </w:r>
      <w:proofErr w:type="spellEnd"/>
      <w:r>
        <w:rPr>
          <w:rFonts w:ascii="Times New Roman" w:eastAsia="Times New Roman" w:hAnsi="Times New Roman"/>
          <w:sz w:val="22"/>
        </w:rPr>
        <w:t xml:space="preserve"> ve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Yûsuf'tan</w:t>
      </w:r>
      <w:proofErr w:type="spellEnd"/>
      <w:r>
        <w:rPr>
          <w:rFonts w:ascii="Times New Roman" w:eastAsia="Times New Roman" w:hAnsi="Times New Roman"/>
          <w:sz w:val="22"/>
        </w:rPr>
        <w:t xml:space="preserve"> ayrı </w:t>
      </w:r>
      <w:proofErr w:type="spellStart"/>
      <w:r>
        <w:rPr>
          <w:rFonts w:ascii="Times New Roman" w:eastAsia="Times New Roman" w:hAnsi="Times New Roman"/>
          <w:sz w:val="22"/>
        </w:rPr>
        <w:t>ayrı</w:t>
      </w:r>
      <w:proofErr w:type="spellEnd"/>
      <w:r>
        <w:rPr>
          <w:rFonts w:ascii="Times New Roman" w:eastAsia="Times New Roman" w:hAnsi="Times New Roman"/>
          <w:sz w:val="22"/>
        </w:rPr>
        <w:t xml:space="preserve"> dersler alması ile ilişkilendirilmiştir. Bu yaklaşıma göre, </w:t>
      </w:r>
      <w:proofErr w:type="spellStart"/>
      <w:r>
        <w:rPr>
          <w:rFonts w:ascii="Times New Roman" w:eastAsia="Times New Roman" w:hAnsi="Times New Roman"/>
          <w:sz w:val="22"/>
        </w:rPr>
        <w:t>İmâm</w:t>
      </w:r>
      <w:proofErr w:type="spellEnd"/>
      <w:r>
        <w:rPr>
          <w:rFonts w:ascii="Times New Roman" w:eastAsia="Times New Roman" w:hAnsi="Times New Roman"/>
          <w:sz w:val="22"/>
        </w:rPr>
        <w:t xml:space="preserve"> Muhammed, doğrudan </w:t>
      </w:r>
      <w:proofErr w:type="spellStart"/>
      <w:r>
        <w:rPr>
          <w:rFonts w:ascii="Times New Roman" w:eastAsia="Times New Roman" w:hAnsi="Times New Roman"/>
          <w:sz w:val="22"/>
        </w:rPr>
        <w:t>Ebū</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Hanîfe'den</w:t>
      </w:r>
      <w:proofErr w:type="spellEnd"/>
      <w:r>
        <w:rPr>
          <w:rFonts w:ascii="Times New Roman" w:eastAsia="Times New Roman" w:hAnsi="Times New Roman"/>
          <w:sz w:val="22"/>
        </w:rPr>
        <w:t xml:space="preserve"> aldığı bilgileri ihtiva eden eserlerinin adlarına </w:t>
      </w:r>
      <w:r>
        <w:rPr>
          <w:rFonts w:ascii="Times New Roman" w:eastAsia="Times New Roman" w:hAnsi="Times New Roman"/>
          <w:i/>
          <w:sz w:val="22"/>
        </w:rPr>
        <w:t>el-</w:t>
      </w:r>
      <w:proofErr w:type="spellStart"/>
      <w:r>
        <w:rPr>
          <w:rFonts w:ascii="Times New Roman" w:eastAsia="Times New Roman" w:hAnsi="Times New Roman"/>
          <w:i/>
          <w:sz w:val="22"/>
        </w:rPr>
        <w:t>kebîr</w:t>
      </w:r>
      <w:proofErr w:type="spellEnd"/>
      <w:r>
        <w:rPr>
          <w:rFonts w:ascii="Times New Roman" w:eastAsia="Times New Roman" w:hAnsi="Times New Roman"/>
          <w:sz w:val="22"/>
        </w:rPr>
        <w:t xml:space="preserve"> sıfatını eklemiş; </w:t>
      </w:r>
      <w:proofErr w:type="spellStart"/>
      <w:r>
        <w:rPr>
          <w:rFonts w:ascii="Times New Roman" w:eastAsia="Times New Roman" w:hAnsi="Times New Roman"/>
          <w:sz w:val="22"/>
        </w:rPr>
        <w:t>Ebū</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Hanîfe’ye</w:t>
      </w:r>
      <w:proofErr w:type="spellEnd"/>
      <w:r>
        <w:rPr>
          <w:rFonts w:ascii="Times New Roman" w:eastAsia="Times New Roman" w:hAnsi="Times New Roman"/>
          <w:sz w:val="22"/>
        </w:rPr>
        <w:t xml:space="preserve"> ait olan fakat </w:t>
      </w:r>
      <w:proofErr w:type="spellStart"/>
      <w:r>
        <w:rPr>
          <w:rFonts w:ascii="Times New Roman" w:eastAsia="Times New Roman" w:hAnsi="Times New Roman"/>
          <w:sz w:val="22"/>
        </w:rPr>
        <w:t>Ebû</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Yûsuf</w:t>
      </w:r>
      <w:proofErr w:type="spellEnd"/>
      <w:r>
        <w:rPr>
          <w:rFonts w:ascii="Times New Roman" w:eastAsia="Times New Roman" w:hAnsi="Times New Roman"/>
          <w:sz w:val="22"/>
        </w:rPr>
        <w:t xml:space="preserve"> vasıtasıyla öğrendiği görüşleri ihtiva eden eserlerini ise </w:t>
      </w:r>
      <w:r>
        <w:rPr>
          <w:rFonts w:ascii="Times New Roman" w:eastAsia="Times New Roman" w:hAnsi="Times New Roman"/>
          <w:i/>
          <w:sz w:val="22"/>
        </w:rPr>
        <w:t>es-</w:t>
      </w:r>
      <w:proofErr w:type="spellStart"/>
      <w:r>
        <w:rPr>
          <w:rFonts w:ascii="Times New Roman" w:eastAsia="Times New Roman" w:hAnsi="Times New Roman"/>
          <w:i/>
          <w:sz w:val="22"/>
        </w:rPr>
        <w:t>sağîr</w:t>
      </w:r>
      <w:proofErr w:type="spellEnd"/>
      <w:r>
        <w:rPr>
          <w:rFonts w:ascii="Times New Roman" w:eastAsia="Times New Roman" w:hAnsi="Times New Roman"/>
          <w:sz w:val="22"/>
        </w:rPr>
        <w:t xml:space="preserve"> diye nitelendirmiştir. (Ṭaḥṭ</w:t>
      </w:r>
      <w:proofErr w:type="spellStart"/>
      <w:r>
        <w:rPr>
          <w:rFonts w:ascii="Times New Roman" w:eastAsia="Times New Roman" w:hAnsi="Times New Roman"/>
          <w:sz w:val="22"/>
        </w:rPr>
        <w:t>āvī</w:t>
      </w:r>
      <w:proofErr w:type="spellEnd"/>
      <w:r>
        <w:rPr>
          <w:rFonts w:ascii="Times New Roman" w:eastAsia="Times New Roman" w:hAnsi="Times New Roman"/>
          <w:sz w:val="22"/>
        </w:rPr>
        <w:t>, 1998: s. 15)</w:t>
      </w:r>
    </w:p>
    <w:p w:rsidR="00D93C16" w:rsidRPr="00217F6C" w:rsidRDefault="00217F6C" w:rsidP="00217F6C"/>
    <w:sectPr w:rsidR="00D93C16" w:rsidRPr="00217F6C"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E6AFB66"/>
    <w:lvl w:ilvl="0" w:tplc="FFFFFFFF">
      <w:start w:val="3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25E45D32"/>
    <w:lvl w:ilvl="0" w:tplc="FFFFFFFF">
      <w:start w:val="4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519B500C"/>
    <w:lvl w:ilvl="0" w:tplc="FFFFFFFF">
      <w:start w:val="4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431BD7B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54EA"/>
    <w:rsid w:val="00217F6C"/>
    <w:rsid w:val="00354863"/>
    <w:rsid w:val="00402397"/>
    <w:rsid w:val="00534153"/>
    <w:rsid w:val="00615718"/>
    <w:rsid w:val="00680C6B"/>
    <w:rsid w:val="009127D6"/>
    <w:rsid w:val="00974306"/>
    <w:rsid w:val="00AE54EA"/>
    <w:rsid w:val="00CE3B5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E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2020-07-17T16:24:00Z</dcterms:created>
  <dcterms:modified xsi:type="dcterms:W3CDTF">2020-07-18T00:14:00Z</dcterms:modified>
</cp:coreProperties>
</file>