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2C1" w:rsidRPr="00EF405F" w:rsidRDefault="006E12C1" w:rsidP="006E12C1">
      <w:pPr>
        <w:pStyle w:val="ListeParagraf"/>
        <w:numPr>
          <w:ilvl w:val="0"/>
          <w:numId w:val="19"/>
        </w:numPr>
        <w:tabs>
          <w:tab w:val="left" w:pos="1843"/>
          <w:tab w:val="left" w:pos="2127"/>
          <w:tab w:val="left" w:pos="5220"/>
        </w:tabs>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 xml:space="preserve">Süt emmenin tesbiti: </w:t>
      </w:r>
      <w:r w:rsidRPr="00EF405F">
        <w:rPr>
          <w:rFonts w:asciiTheme="majorBidi" w:hAnsiTheme="majorBidi" w:cstheme="majorBidi"/>
          <w:sz w:val="24"/>
          <w:szCs w:val="24"/>
        </w:rPr>
        <w:t xml:space="preserve">Hukukî bir mesele hakkında hüküm verilmeden önce o meselenin gerçekleştiğinin delillerle ortaya konması gerekir. Süt emme üç tür delil ile ispat edilir: </w:t>
      </w:r>
    </w:p>
    <w:p w:rsidR="006E12C1" w:rsidRPr="00EF405F" w:rsidRDefault="006E12C1" w:rsidP="006E12C1">
      <w:pPr>
        <w:pStyle w:val="ListeParagraf"/>
        <w:numPr>
          <w:ilvl w:val="0"/>
          <w:numId w:val="18"/>
        </w:numPr>
        <w:tabs>
          <w:tab w:val="left" w:pos="1843"/>
          <w:tab w:val="left" w:pos="2127"/>
          <w:tab w:val="left" w:pos="5220"/>
        </w:tabs>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 xml:space="preserve">İkrâr: </w:t>
      </w:r>
      <w:r w:rsidRPr="00EF405F">
        <w:rPr>
          <w:rFonts w:asciiTheme="majorBidi" w:hAnsiTheme="majorBidi" w:cstheme="majorBidi"/>
          <w:sz w:val="24"/>
          <w:szCs w:val="24"/>
        </w:rPr>
        <w:t xml:space="preserve">Hanefîlere göre ikrâr, birbiri ile evliliği söz konusu olan erkek ile kadından her ikisinin ya da birinin, aralarında </w:t>
      </w:r>
      <w:proofErr w:type="gramStart"/>
      <w:r w:rsidRPr="00EF405F">
        <w:rPr>
          <w:rFonts w:asciiTheme="majorBidi" w:hAnsiTheme="majorBidi" w:cstheme="majorBidi"/>
          <w:sz w:val="24"/>
          <w:szCs w:val="24"/>
        </w:rPr>
        <w:t>süt kardeşlik</w:t>
      </w:r>
      <w:proofErr w:type="gramEnd"/>
      <w:r w:rsidRPr="00EF405F">
        <w:rPr>
          <w:rFonts w:asciiTheme="majorBidi" w:hAnsiTheme="majorBidi" w:cstheme="majorBidi"/>
          <w:sz w:val="24"/>
          <w:szCs w:val="24"/>
        </w:rPr>
        <w:t xml:space="preserve"> olduğunu kabul etmesi şeklinde olur. Evliliği söz konusu olan erkekle kadın dışındaki kimselerin, örneğin </w:t>
      </w:r>
      <w:proofErr w:type="gramStart"/>
      <w:r w:rsidRPr="00EF405F">
        <w:rPr>
          <w:rFonts w:asciiTheme="majorBidi" w:hAnsiTheme="majorBidi" w:cstheme="majorBidi"/>
          <w:sz w:val="24"/>
          <w:szCs w:val="24"/>
        </w:rPr>
        <w:t>süt anne</w:t>
      </w:r>
      <w:proofErr w:type="gramEnd"/>
      <w:r w:rsidRPr="00EF405F">
        <w:rPr>
          <w:rFonts w:asciiTheme="majorBidi" w:hAnsiTheme="majorBidi" w:cstheme="majorBidi"/>
          <w:sz w:val="24"/>
          <w:szCs w:val="24"/>
        </w:rPr>
        <w:t xml:space="preserve">-babanın bu konudaki açıklamaları ikrar değil şahitlik sayılır. Mâlikîler ise </w:t>
      </w:r>
      <w:proofErr w:type="gramStart"/>
      <w:r w:rsidRPr="00EF405F">
        <w:rPr>
          <w:rFonts w:asciiTheme="majorBidi" w:hAnsiTheme="majorBidi" w:cstheme="majorBidi"/>
          <w:sz w:val="24"/>
          <w:szCs w:val="24"/>
        </w:rPr>
        <w:t>süt anne</w:t>
      </w:r>
      <w:proofErr w:type="gramEnd"/>
      <w:r w:rsidRPr="00EF405F">
        <w:rPr>
          <w:rFonts w:asciiTheme="majorBidi" w:hAnsiTheme="majorBidi" w:cstheme="majorBidi"/>
          <w:sz w:val="24"/>
          <w:szCs w:val="24"/>
        </w:rPr>
        <w:t>-babanın açıklamasını, ikrar olarak değerlendirirler.</w:t>
      </w:r>
    </w:p>
    <w:p w:rsidR="006E12C1" w:rsidRPr="00EF405F" w:rsidRDefault="006E12C1" w:rsidP="006E12C1">
      <w:pPr>
        <w:pStyle w:val="ListeParagraf"/>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b/>
          <w:bCs/>
          <w:sz w:val="24"/>
          <w:szCs w:val="24"/>
        </w:rPr>
        <w:tab/>
      </w:r>
      <w:r w:rsidRPr="00EF405F">
        <w:rPr>
          <w:rFonts w:asciiTheme="majorBidi" w:hAnsiTheme="majorBidi" w:cstheme="majorBidi"/>
          <w:b/>
          <w:bCs/>
          <w:sz w:val="24"/>
          <w:szCs w:val="24"/>
        </w:rPr>
        <w:tab/>
      </w:r>
      <w:r w:rsidRPr="00EF405F">
        <w:rPr>
          <w:rFonts w:asciiTheme="majorBidi" w:hAnsiTheme="majorBidi" w:cstheme="majorBidi"/>
          <w:sz w:val="24"/>
          <w:szCs w:val="24"/>
        </w:rPr>
        <w:t xml:space="preserve">Eğer </w:t>
      </w:r>
      <w:r>
        <w:rPr>
          <w:rFonts w:asciiTheme="majorBidi" w:hAnsiTheme="majorBidi" w:cstheme="majorBidi"/>
          <w:sz w:val="24"/>
          <w:szCs w:val="24"/>
        </w:rPr>
        <w:t xml:space="preserve">birbirleriyle </w:t>
      </w:r>
      <w:r w:rsidRPr="00EF405F">
        <w:rPr>
          <w:rFonts w:asciiTheme="majorBidi" w:hAnsiTheme="majorBidi" w:cstheme="majorBidi"/>
          <w:sz w:val="24"/>
          <w:szCs w:val="24"/>
        </w:rPr>
        <w:t>evlenme</w:t>
      </w:r>
      <w:r>
        <w:rPr>
          <w:rFonts w:asciiTheme="majorBidi" w:hAnsiTheme="majorBidi" w:cstheme="majorBidi"/>
          <w:sz w:val="24"/>
          <w:szCs w:val="24"/>
        </w:rPr>
        <w:t>leri</w:t>
      </w:r>
      <w:r w:rsidRPr="00EF405F">
        <w:rPr>
          <w:rFonts w:asciiTheme="majorBidi" w:hAnsiTheme="majorBidi" w:cstheme="majorBidi"/>
          <w:sz w:val="24"/>
          <w:szCs w:val="24"/>
        </w:rPr>
        <w:t xml:space="preserve"> söz konusu olan bir erkek ile kadın </w:t>
      </w:r>
      <w:proofErr w:type="gramStart"/>
      <w:r w:rsidRPr="00EF405F">
        <w:rPr>
          <w:rFonts w:asciiTheme="majorBidi" w:hAnsiTheme="majorBidi" w:cstheme="majorBidi"/>
          <w:sz w:val="24"/>
          <w:szCs w:val="24"/>
        </w:rPr>
        <w:t>süt kardeş</w:t>
      </w:r>
      <w:proofErr w:type="gramEnd"/>
      <w:r w:rsidRPr="00EF405F">
        <w:rPr>
          <w:rFonts w:asciiTheme="majorBidi" w:hAnsiTheme="majorBidi" w:cstheme="majorBidi"/>
          <w:sz w:val="24"/>
          <w:szCs w:val="24"/>
        </w:rPr>
        <w:t xml:space="preserve"> olduklarını müştereken ifade ederlerse, evlenmeleri haram olur. Bu ikrara rağmen evlilik teşebbüsünde bulunsalar ve nikâhlansalar yapılan </w:t>
      </w:r>
      <w:proofErr w:type="gramStart"/>
      <w:r w:rsidRPr="00EF405F">
        <w:rPr>
          <w:rFonts w:asciiTheme="majorBidi" w:hAnsiTheme="majorBidi" w:cstheme="majorBidi"/>
          <w:sz w:val="24"/>
          <w:szCs w:val="24"/>
        </w:rPr>
        <w:t>nikah</w:t>
      </w:r>
      <w:proofErr w:type="gramEnd"/>
      <w:r w:rsidRPr="00EF405F">
        <w:rPr>
          <w:rFonts w:asciiTheme="majorBidi" w:hAnsiTheme="majorBidi" w:cstheme="majorBidi"/>
          <w:sz w:val="24"/>
          <w:szCs w:val="24"/>
        </w:rPr>
        <w:t xml:space="preserve"> akdi fasid olur. </w:t>
      </w:r>
    </w:p>
    <w:p w:rsidR="006E12C1" w:rsidRPr="00EF405F" w:rsidRDefault="006E12C1" w:rsidP="006E12C1">
      <w:pPr>
        <w:pStyle w:val="ListeParagraf"/>
        <w:tabs>
          <w:tab w:val="left" w:pos="1843"/>
          <w:tab w:val="left" w:pos="2127"/>
          <w:tab w:val="left" w:pos="5220"/>
        </w:tabs>
        <w:spacing w:after="0"/>
        <w:ind w:left="1418" w:right="1418"/>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EF405F">
        <w:rPr>
          <w:rFonts w:asciiTheme="majorBidi" w:hAnsiTheme="majorBidi" w:cstheme="majorBidi"/>
          <w:sz w:val="24"/>
          <w:szCs w:val="24"/>
        </w:rPr>
        <w:t xml:space="preserve">Eğer müşterek ikrar, evlilik sonrasında gerçekleşirse ve ikrarın yanlışlığını gösteren başka herhangi bir delil yok ise evlilik sona erer ve tarafların birbirinden ayrılmaları gerekir. </w:t>
      </w:r>
    </w:p>
    <w:p w:rsidR="006E12C1" w:rsidRPr="00EF405F" w:rsidRDefault="006E12C1" w:rsidP="006E12C1">
      <w:pPr>
        <w:pStyle w:val="ListeParagraf"/>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sz w:val="24"/>
          <w:szCs w:val="24"/>
        </w:rPr>
        <w:tab/>
      </w:r>
      <w:r w:rsidRPr="00EF405F">
        <w:rPr>
          <w:rFonts w:asciiTheme="majorBidi" w:hAnsiTheme="majorBidi" w:cstheme="majorBidi"/>
          <w:sz w:val="24"/>
          <w:szCs w:val="24"/>
        </w:rPr>
        <w:tab/>
        <w:t xml:space="preserve">İkrârın evlilik öncesinde ve sadece erkek tarafından ifade edilmiş olması halinde, sütkardeşliğin gerçekleştiğine hükmedilir. Bu durumda ikrarda bulunan erkeğin sütkardeşi olduğunu söylediği kadınla evlenmesi caiz olmaz. Eğer bu ikrarı evlendikten sonra ifade etmiş ise evlilik sona erer. Evliliğin bu şekilde sona ermesi, kadının mihir, </w:t>
      </w:r>
      <w:proofErr w:type="gramStart"/>
      <w:r w:rsidRPr="00EF405F">
        <w:rPr>
          <w:rFonts w:asciiTheme="majorBidi" w:hAnsiTheme="majorBidi" w:cstheme="majorBidi"/>
          <w:sz w:val="24"/>
          <w:szCs w:val="24"/>
        </w:rPr>
        <w:t>nafaka,</w:t>
      </w:r>
      <w:proofErr w:type="gramEnd"/>
      <w:r w:rsidRPr="00EF405F">
        <w:rPr>
          <w:rFonts w:asciiTheme="majorBidi" w:hAnsiTheme="majorBidi" w:cstheme="majorBidi"/>
          <w:sz w:val="24"/>
          <w:szCs w:val="24"/>
        </w:rPr>
        <w:t xml:space="preserve"> ve süknâ hakkı gibi haklarını eksiltmez. </w:t>
      </w:r>
    </w:p>
    <w:p w:rsidR="006E12C1" w:rsidRPr="00EF405F" w:rsidRDefault="006E12C1" w:rsidP="006E12C1">
      <w:pPr>
        <w:pStyle w:val="ListeParagraf"/>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sz w:val="24"/>
          <w:szCs w:val="24"/>
        </w:rPr>
        <w:tab/>
      </w:r>
      <w:r w:rsidRPr="00EF405F">
        <w:rPr>
          <w:rFonts w:asciiTheme="majorBidi" w:hAnsiTheme="majorBidi" w:cstheme="majorBidi"/>
          <w:sz w:val="24"/>
          <w:szCs w:val="24"/>
        </w:rPr>
        <w:tab/>
        <w:t xml:space="preserve">Eğer ikrar kadın tarafından gelmiş ise durum biraz farklıdır. Evlilik öncesinde kadın tarafından ifade edilen ikrar, muteberdir. Dolayısıyla evliliği söz konusu olan bir kimse ile aralarında süt emmeden doğan bir yakınlık olduğunu açıklayan bir kadının o erkekle evlenmesi caiz olmaz. Evlilik sonrasında sadece kadın tarafından gerçekleştirilen ikrara gelince, bunun devam etmekte olan evliliğin sıhhatini etkilemeyeceği ifade edilmiştir. Ancak bu hükmün, kadının bu ikrarı evliliği sona erdirmenin boşanma dışındaki bir yolu olarak görmesi ihtimaline dayandırıldığını belirtmek gerekir. Dolayısıyla kadının boşanma hakkının bulunduğu bir evlilikte, ikrarının da muteber sayılması daha doğrudur. </w:t>
      </w:r>
    </w:p>
    <w:p w:rsidR="006E12C1" w:rsidRPr="00EF405F" w:rsidRDefault="006E12C1" w:rsidP="006E12C1">
      <w:pPr>
        <w:pStyle w:val="ListeParagraf"/>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sz w:val="24"/>
          <w:szCs w:val="24"/>
        </w:rPr>
        <w:tab/>
      </w:r>
      <w:r w:rsidRPr="00EF405F">
        <w:rPr>
          <w:rFonts w:asciiTheme="majorBidi" w:hAnsiTheme="majorBidi" w:cstheme="majorBidi"/>
          <w:sz w:val="24"/>
          <w:szCs w:val="24"/>
        </w:rPr>
        <w:tab/>
        <w:t>Evlilik akdinin ikrar neticesinde sona erdirilmesi halinde bu, talâk değil fesh sayılır.</w:t>
      </w:r>
    </w:p>
    <w:p w:rsidR="006E12C1" w:rsidRPr="003813F9" w:rsidRDefault="006E12C1" w:rsidP="006E12C1">
      <w:pPr>
        <w:pStyle w:val="ListeParagraf"/>
        <w:numPr>
          <w:ilvl w:val="0"/>
          <w:numId w:val="18"/>
        </w:numPr>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b/>
          <w:bCs/>
          <w:sz w:val="24"/>
          <w:szCs w:val="24"/>
        </w:rPr>
        <w:t xml:space="preserve">İşhâd: </w:t>
      </w:r>
      <w:r w:rsidRPr="00EF405F">
        <w:rPr>
          <w:rFonts w:asciiTheme="majorBidi" w:hAnsiTheme="majorBidi" w:cstheme="majorBidi"/>
          <w:sz w:val="24"/>
          <w:szCs w:val="24"/>
        </w:rPr>
        <w:t xml:space="preserve">Şâhitlik, şahit olma ehliyetini haiz birinin </w:t>
      </w:r>
      <w:proofErr w:type="gramStart"/>
      <w:r w:rsidRPr="00EF405F">
        <w:rPr>
          <w:rFonts w:asciiTheme="majorBidi" w:hAnsiTheme="majorBidi" w:cstheme="majorBidi"/>
          <w:sz w:val="24"/>
          <w:szCs w:val="24"/>
        </w:rPr>
        <w:t>hakim</w:t>
      </w:r>
      <w:proofErr w:type="gramEnd"/>
      <w:r w:rsidRPr="00EF405F">
        <w:rPr>
          <w:rFonts w:asciiTheme="majorBidi" w:hAnsiTheme="majorBidi" w:cstheme="majorBidi"/>
          <w:sz w:val="24"/>
          <w:szCs w:val="24"/>
        </w:rPr>
        <w:t xml:space="preserve"> karşısında dava konusu hakkındaki bilgisini açıklamasıdır. İşhâd ise bir dava hakkında şahidin bilgisine başvurmak anlamına gelmektedir.</w:t>
      </w:r>
      <w:r w:rsidRPr="00EF405F">
        <w:rPr>
          <w:rFonts w:asciiTheme="majorBidi" w:hAnsiTheme="majorBidi" w:cstheme="majorBidi"/>
          <w:b/>
          <w:bCs/>
          <w:sz w:val="24"/>
          <w:szCs w:val="24"/>
        </w:rPr>
        <w:t xml:space="preserve"> </w:t>
      </w:r>
    </w:p>
    <w:p w:rsidR="006E12C1" w:rsidRPr="00EF405F" w:rsidRDefault="006E12C1" w:rsidP="006E12C1">
      <w:pPr>
        <w:pStyle w:val="ListeParagraf"/>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b/>
          <w:bCs/>
          <w:sz w:val="24"/>
          <w:szCs w:val="24"/>
        </w:rPr>
        <w:tab/>
      </w:r>
      <w:r w:rsidRPr="00EF405F">
        <w:rPr>
          <w:rFonts w:asciiTheme="majorBidi" w:hAnsiTheme="majorBidi" w:cstheme="majorBidi"/>
          <w:b/>
          <w:bCs/>
          <w:sz w:val="24"/>
          <w:szCs w:val="24"/>
        </w:rPr>
        <w:tab/>
      </w:r>
      <w:r w:rsidRPr="00EF405F">
        <w:rPr>
          <w:rFonts w:asciiTheme="majorBidi" w:hAnsiTheme="majorBidi" w:cstheme="majorBidi"/>
          <w:sz w:val="24"/>
          <w:szCs w:val="24"/>
        </w:rPr>
        <w:t xml:space="preserve">Süt emmenin ispat vasıtalarından biri de bu konuda bilgisi olan bir kimsenin tanıklığına/şahitliğine başvurmaktır. </w:t>
      </w:r>
      <w:r w:rsidRPr="00EF405F">
        <w:rPr>
          <w:rFonts w:asciiTheme="majorBidi" w:hAnsiTheme="majorBidi" w:cstheme="majorBidi"/>
          <w:sz w:val="24"/>
          <w:szCs w:val="24"/>
        </w:rPr>
        <w:lastRenderedPageBreak/>
        <w:t xml:space="preserve">Süt emme davalarında iki erkek şahid ya da bir erkek iki kadın şahidin şahitliğinin geçerli olacağı konusunda fakîhler arasında ittifak vardır.  Şahitlerin sadece kadınlardan olması durumuyla ilgili olarak ise mezheplerin farklı yaklaşımları olduğu görülmektedir. Hanefilere göre, şahitlikle ilgili genel hükümlere uygun olarak süt emme davalarında da en az iki erkek ya da bir erkek iki kadın şahit olmalıdır. Onlara göre, sadece kadınların şahitliği kabul edilmez. İmâm Şâfiî, erkek şahidin olmaması halinde en az dört tane olmak üzere kadınların şahitliğinin kabul edileceği görüşündedir. Ahmed b. Hanbel ise, kadınların süt emme konusunu erkeklerden daha iyi bilebileceği düşüncesinden hareketle, iki erkek şahit bulunmadığı zaman, konuyu iyi bildiği konusunda güçlü bir kanaat oluşması halinde sadece bir kadının şahitliğinin yeterli olabileceğini söylemiştir. Bununla birlikte kaynaklarda Ahmed b. Hanbel’in bir değil iki kadın şahidin gerekli olduğunu söylediği de nakledilmektedir. Mâlikiler’e göre süt emme konusunda iki kadının şahitliği yeterlidir. Ancak o, kadın şahitlerin konu hakkındaki bilgilerini, dava öncesinde de insanlarla paylaşmış olması şartını ileri sürmektedir. İmâm Malik’e göre sadece </w:t>
      </w:r>
      <w:proofErr w:type="gramStart"/>
      <w:r w:rsidRPr="00EF405F">
        <w:rPr>
          <w:rFonts w:asciiTheme="majorBidi" w:hAnsiTheme="majorBidi" w:cstheme="majorBidi"/>
          <w:sz w:val="24"/>
          <w:szCs w:val="24"/>
        </w:rPr>
        <w:t>süt annenin</w:t>
      </w:r>
      <w:proofErr w:type="gramEnd"/>
      <w:r w:rsidRPr="00EF405F">
        <w:rPr>
          <w:rFonts w:asciiTheme="majorBidi" w:hAnsiTheme="majorBidi" w:cstheme="majorBidi"/>
          <w:sz w:val="24"/>
          <w:szCs w:val="24"/>
        </w:rPr>
        <w:t xml:space="preserve">, akit öncesinde yapacağı şahitliğin de -konu hakkındaki bilgisini daha önceden etrafıyla paylaşmış olması şartıyla- dikkate alınması gerektiğini belirtmektedirler. </w:t>
      </w:r>
    </w:p>
    <w:p w:rsidR="006E12C1" w:rsidRPr="00EF405F" w:rsidRDefault="006E12C1" w:rsidP="006E12C1">
      <w:pPr>
        <w:pStyle w:val="ListeParagraf"/>
        <w:numPr>
          <w:ilvl w:val="0"/>
          <w:numId w:val="18"/>
        </w:numPr>
        <w:tabs>
          <w:tab w:val="left" w:pos="1843"/>
          <w:tab w:val="left" w:pos="2127"/>
          <w:tab w:val="left" w:pos="5220"/>
        </w:tabs>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İhbâr:</w:t>
      </w:r>
      <w:r w:rsidRPr="00EF405F">
        <w:rPr>
          <w:rFonts w:asciiTheme="majorBidi" w:hAnsiTheme="majorBidi" w:cstheme="majorBidi"/>
          <w:sz w:val="24"/>
          <w:szCs w:val="24"/>
        </w:rPr>
        <w:t xml:space="preserve"> Tanıklık, ancak süt emme konusunda bir dava olduğu takdirde söz konusu olabilir. Herhangi bir dava olmaksızın bir kimsenin, evlenmesi söz konusu olan </w:t>
      </w:r>
      <w:r>
        <w:rPr>
          <w:rFonts w:asciiTheme="majorBidi" w:hAnsiTheme="majorBidi" w:cstheme="majorBidi"/>
          <w:sz w:val="24"/>
          <w:szCs w:val="24"/>
        </w:rPr>
        <w:t xml:space="preserve">bir </w:t>
      </w:r>
      <w:r w:rsidRPr="00EF405F">
        <w:rPr>
          <w:rFonts w:asciiTheme="majorBidi" w:hAnsiTheme="majorBidi" w:cstheme="majorBidi"/>
          <w:sz w:val="24"/>
          <w:szCs w:val="24"/>
        </w:rPr>
        <w:t xml:space="preserve">kadın </w:t>
      </w:r>
      <w:r>
        <w:rPr>
          <w:rFonts w:asciiTheme="majorBidi" w:hAnsiTheme="majorBidi" w:cstheme="majorBidi"/>
          <w:sz w:val="24"/>
          <w:szCs w:val="24"/>
        </w:rPr>
        <w:t>ile</w:t>
      </w:r>
      <w:r w:rsidRPr="00EF405F">
        <w:rPr>
          <w:rFonts w:asciiTheme="majorBidi" w:hAnsiTheme="majorBidi" w:cstheme="majorBidi"/>
          <w:sz w:val="24"/>
          <w:szCs w:val="24"/>
        </w:rPr>
        <w:t xml:space="preserve"> </w:t>
      </w:r>
      <w:r>
        <w:rPr>
          <w:rFonts w:asciiTheme="majorBidi" w:hAnsiTheme="majorBidi" w:cstheme="majorBidi"/>
          <w:sz w:val="24"/>
          <w:szCs w:val="24"/>
        </w:rPr>
        <w:t xml:space="preserve">bir </w:t>
      </w:r>
      <w:r w:rsidRPr="00EF405F">
        <w:rPr>
          <w:rFonts w:asciiTheme="majorBidi" w:hAnsiTheme="majorBidi" w:cstheme="majorBidi"/>
          <w:sz w:val="24"/>
          <w:szCs w:val="24"/>
        </w:rPr>
        <w:t xml:space="preserve">erkek arasında süt yakınlığı bulunduğunu söylemesi, “ihbâr” kavramı ile açıklanmaktadır. </w:t>
      </w:r>
      <w:proofErr w:type="gramStart"/>
      <w:r w:rsidRPr="00EF405F">
        <w:rPr>
          <w:rFonts w:asciiTheme="majorBidi" w:hAnsiTheme="majorBidi" w:cstheme="majorBidi"/>
          <w:sz w:val="24"/>
          <w:szCs w:val="24"/>
        </w:rPr>
        <w:t>Hakimin</w:t>
      </w:r>
      <w:proofErr w:type="gramEnd"/>
      <w:r w:rsidRPr="00EF405F">
        <w:rPr>
          <w:rFonts w:asciiTheme="majorBidi" w:hAnsiTheme="majorBidi" w:cstheme="majorBidi"/>
          <w:sz w:val="24"/>
          <w:szCs w:val="24"/>
        </w:rPr>
        <w:t xml:space="preserve"> ihbarda bulunan kimseyi mahkemeye çağırması ve onun bu konudaki bilgisine başvurması halinde ihbar, işhâd niteliğini kazanır.</w:t>
      </w:r>
    </w:p>
    <w:p w:rsidR="006E12C1" w:rsidRPr="00EF405F" w:rsidRDefault="006E12C1" w:rsidP="006E12C1">
      <w:pPr>
        <w:pStyle w:val="ListeParagraf"/>
        <w:tabs>
          <w:tab w:val="left" w:pos="1843"/>
          <w:tab w:val="left" w:pos="2127"/>
          <w:tab w:val="left" w:pos="5220"/>
        </w:tabs>
        <w:spacing w:after="0"/>
        <w:ind w:left="1418" w:right="1418"/>
        <w:jc w:val="both"/>
        <w:rPr>
          <w:rFonts w:asciiTheme="majorBidi" w:hAnsiTheme="majorBidi" w:cstheme="majorBidi"/>
          <w:b/>
          <w:bCs/>
          <w:sz w:val="24"/>
          <w:szCs w:val="24"/>
        </w:rPr>
      </w:pPr>
      <w:r w:rsidRPr="00EF405F">
        <w:rPr>
          <w:rFonts w:asciiTheme="majorBidi" w:hAnsiTheme="majorBidi" w:cstheme="majorBidi"/>
          <w:sz w:val="24"/>
          <w:szCs w:val="24"/>
        </w:rPr>
        <w:tab/>
      </w:r>
      <w:r w:rsidRPr="00EF405F">
        <w:rPr>
          <w:rFonts w:asciiTheme="majorBidi" w:hAnsiTheme="majorBidi" w:cstheme="majorBidi"/>
          <w:sz w:val="24"/>
          <w:szCs w:val="24"/>
        </w:rPr>
        <w:tab/>
        <w:t xml:space="preserve">Evlilikleri söz konusu olan kadın ile erkek arasında her hangi bir </w:t>
      </w:r>
      <w:proofErr w:type="gramStart"/>
      <w:r w:rsidRPr="00EF405F">
        <w:rPr>
          <w:rFonts w:asciiTheme="majorBidi" w:hAnsiTheme="majorBidi" w:cstheme="majorBidi"/>
          <w:sz w:val="24"/>
          <w:szCs w:val="24"/>
        </w:rPr>
        <w:t>şikayet</w:t>
      </w:r>
      <w:proofErr w:type="gramEnd"/>
      <w:r w:rsidRPr="00EF405F">
        <w:rPr>
          <w:rFonts w:asciiTheme="majorBidi" w:hAnsiTheme="majorBidi" w:cstheme="majorBidi"/>
          <w:sz w:val="24"/>
          <w:szCs w:val="24"/>
        </w:rPr>
        <w:t xml:space="preserve"> ya da dava olmadığı halde üçüncü bir kimsenin bu ikisi arasında süt emmeden doğan bir yakınlık olduğunu haber vermesi (ihbârı) halinde, eğer onlar bu ihbarın doğruluğuna inanırlar ise evliliği sona erdirme konusunda yargı yoluna başvururlar. Sadece birinin inanması halinde bu durum </w:t>
      </w:r>
      <w:proofErr w:type="gramStart"/>
      <w:r w:rsidRPr="00EF405F">
        <w:rPr>
          <w:rFonts w:asciiTheme="majorBidi" w:hAnsiTheme="majorBidi" w:cstheme="majorBidi"/>
          <w:sz w:val="24"/>
          <w:szCs w:val="24"/>
        </w:rPr>
        <w:t xml:space="preserve">sadece </w:t>
      </w:r>
      <w:r>
        <w:rPr>
          <w:rFonts w:asciiTheme="majorBidi" w:hAnsiTheme="majorBidi" w:cstheme="majorBidi"/>
          <w:sz w:val="24"/>
          <w:szCs w:val="24"/>
        </w:rPr>
        <w:t xml:space="preserve"> taraflardan</w:t>
      </w:r>
      <w:proofErr w:type="gramEnd"/>
      <w:r>
        <w:rPr>
          <w:rFonts w:asciiTheme="majorBidi" w:hAnsiTheme="majorBidi" w:cstheme="majorBidi"/>
          <w:sz w:val="24"/>
          <w:szCs w:val="24"/>
        </w:rPr>
        <w:t xml:space="preserve"> </w:t>
      </w:r>
      <w:r w:rsidRPr="00EF405F">
        <w:rPr>
          <w:rFonts w:asciiTheme="majorBidi" w:hAnsiTheme="majorBidi" w:cstheme="majorBidi"/>
          <w:sz w:val="24"/>
          <w:szCs w:val="24"/>
        </w:rPr>
        <w:t xml:space="preserve">birinin ikrarı gibi kabul edilir ve ikrarda belirtilen </w:t>
      </w:r>
      <w:r>
        <w:rPr>
          <w:rFonts w:asciiTheme="majorBidi" w:hAnsiTheme="majorBidi" w:cstheme="majorBidi"/>
          <w:sz w:val="24"/>
          <w:szCs w:val="24"/>
        </w:rPr>
        <w:t xml:space="preserve">hukuki </w:t>
      </w:r>
      <w:r w:rsidRPr="00EF405F">
        <w:rPr>
          <w:rFonts w:asciiTheme="majorBidi" w:hAnsiTheme="majorBidi" w:cstheme="majorBidi"/>
          <w:sz w:val="24"/>
          <w:szCs w:val="24"/>
        </w:rPr>
        <w:t>durum oluşur.</w:t>
      </w:r>
    </w:p>
    <w:p w:rsidR="006E12C1" w:rsidRPr="00EF405F" w:rsidRDefault="006E12C1" w:rsidP="006E12C1">
      <w:pPr>
        <w:pStyle w:val="ListeParagraf"/>
        <w:tabs>
          <w:tab w:val="left" w:pos="1843"/>
          <w:tab w:val="left" w:pos="2127"/>
          <w:tab w:val="left" w:pos="5220"/>
        </w:tabs>
        <w:ind w:left="1776"/>
        <w:jc w:val="both"/>
        <w:rPr>
          <w:rFonts w:asciiTheme="majorBidi" w:hAnsiTheme="majorBidi" w:cstheme="majorBidi"/>
          <w:b/>
          <w:bCs/>
          <w:sz w:val="24"/>
          <w:szCs w:val="24"/>
        </w:rPr>
      </w:pPr>
      <w:r w:rsidRPr="00EF405F">
        <w:rPr>
          <w:rFonts w:asciiTheme="majorBidi" w:hAnsiTheme="majorBidi" w:cstheme="majorBidi"/>
          <w:b/>
          <w:bCs/>
          <w:sz w:val="24"/>
          <w:szCs w:val="24"/>
        </w:rPr>
        <w:tab/>
      </w:r>
      <w:r w:rsidRPr="00EF405F">
        <w:rPr>
          <w:rFonts w:asciiTheme="majorBidi" w:hAnsiTheme="majorBidi" w:cstheme="majorBidi"/>
          <w:b/>
          <w:bCs/>
          <w:sz w:val="24"/>
          <w:szCs w:val="24"/>
        </w:rPr>
        <w:tab/>
      </w:r>
    </w:p>
    <w:p w:rsidR="006E12C1" w:rsidRPr="00EF405F" w:rsidRDefault="006E12C1" w:rsidP="006E12C1">
      <w:pPr>
        <w:ind w:left="1134" w:firstLine="282"/>
        <w:jc w:val="both"/>
        <w:rPr>
          <w:rFonts w:asciiTheme="majorBidi" w:hAnsiTheme="majorBidi" w:cstheme="majorBidi"/>
          <w:sz w:val="24"/>
          <w:szCs w:val="24"/>
        </w:rPr>
      </w:pPr>
    </w:p>
    <w:p w:rsidR="006E12C1" w:rsidRPr="00EF405F" w:rsidRDefault="006E12C1" w:rsidP="006E12C1">
      <w:pPr>
        <w:ind w:left="1134" w:firstLine="282"/>
        <w:jc w:val="both"/>
        <w:rPr>
          <w:rFonts w:asciiTheme="majorBidi" w:hAnsiTheme="majorBidi" w:cstheme="majorBidi"/>
          <w:sz w:val="24"/>
          <w:szCs w:val="24"/>
        </w:rPr>
      </w:pPr>
      <w:r w:rsidRPr="00EF405F">
        <w:rPr>
          <w:rFonts w:asciiTheme="majorBidi" w:hAnsiTheme="majorBidi" w:cstheme="majorBidi"/>
          <w:sz w:val="24"/>
          <w:szCs w:val="24"/>
        </w:rPr>
        <w:br/>
      </w:r>
    </w:p>
    <w:p w:rsidR="006E12C1" w:rsidRDefault="006E12C1" w:rsidP="006E12C1">
      <w:pPr>
        <w:ind w:left="1134" w:firstLine="282"/>
        <w:jc w:val="both"/>
        <w:rPr>
          <w:rFonts w:asciiTheme="majorBidi" w:hAnsiTheme="majorBidi" w:cstheme="majorBidi"/>
          <w:sz w:val="24"/>
          <w:szCs w:val="24"/>
        </w:rPr>
      </w:pPr>
      <w:r w:rsidRPr="00EF405F">
        <w:rPr>
          <w:rFonts w:asciiTheme="majorBidi" w:hAnsiTheme="majorBidi" w:cstheme="majorBidi"/>
          <w:sz w:val="24"/>
          <w:szCs w:val="24"/>
        </w:rPr>
        <w:br/>
      </w:r>
    </w:p>
    <w:p w:rsidR="006E12C1" w:rsidRDefault="006E12C1" w:rsidP="006E12C1">
      <w:pPr>
        <w:autoSpaceDE w:val="0"/>
        <w:autoSpaceDN w:val="0"/>
        <w:adjustRightInd w:val="0"/>
        <w:ind w:left="1417" w:right="1417" w:firstLine="708"/>
        <w:rPr>
          <w:rFonts w:asciiTheme="majorBidi" w:hAnsiTheme="majorBidi" w:cstheme="majorBidi"/>
          <w:b/>
          <w:bCs/>
          <w:sz w:val="24"/>
          <w:szCs w:val="24"/>
        </w:rPr>
      </w:pPr>
    </w:p>
    <w:p w:rsidR="006E12C1" w:rsidRDefault="006E12C1" w:rsidP="006E12C1">
      <w:pPr>
        <w:autoSpaceDE w:val="0"/>
        <w:autoSpaceDN w:val="0"/>
        <w:adjustRightInd w:val="0"/>
        <w:ind w:left="1417" w:right="1417" w:firstLine="708"/>
        <w:rPr>
          <w:rFonts w:asciiTheme="majorBidi" w:hAnsiTheme="majorBidi" w:cstheme="majorBidi"/>
          <w:b/>
          <w:bCs/>
          <w:sz w:val="24"/>
          <w:szCs w:val="24"/>
        </w:rPr>
      </w:pPr>
      <w:r w:rsidRPr="009D3854">
        <w:rPr>
          <w:rFonts w:asciiTheme="majorBidi" w:hAnsiTheme="majorBidi" w:cstheme="majorBidi"/>
          <w:b/>
          <w:bCs/>
          <w:sz w:val="24"/>
          <w:szCs w:val="24"/>
        </w:rPr>
        <w:t>Özet</w:t>
      </w:r>
    </w:p>
    <w:p w:rsidR="006E12C1" w:rsidRPr="009D3854" w:rsidRDefault="006E12C1" w:rsidP="006E12C1">
      <w:pPr>
        <w:autoSpaceDE w:val="0"/>
        <w:autoSpaceDN w:val="0"/>
        <w:adjustRightInd w:val="0"/>
        <w:ind w:left="1417" w:right="1417"/>
        <w:rPr>
          <w:rFonts w:asciiTheme="majorBidi" w:hAnsiTheme="majorBidi" w:cstheme="majorBidi"/>
          <w:b/>
          <w:bCs/>
          <w:sz w:val="24"/>
          <w:szCs w:val="24"/>
        </w:rPr>
      </w:pPr>
    </w:p>
    <w:p w:rsidR="006E12C1" w:rsidRDefault="006E12C1" w:rsidP="006E12C1">
      <w:pPr>
        <w:pStyle w:val="ListeParagraf"/>
        <w:spacing w:after="0"/>
        <w:ind w:left="1417" w:right="1417" w:firstLine="336"/>
        <w:jc w:val="both"/>
        <w:rPr>
          <w:rFonts w:asciiTheme="majorBidi" w:hAnsiTheme="majorBidi" w:cstheme="majorBidi"/>
          <w:sz w:val="24"/>
          <w:szCs w:val="24"/>
        </w:rPr>
      </w:pPr>
      <w:r w:rsidRPr="00EF405F">
        <w:rPr>
          <w:rFonts w:asciiTheme="majorBidi" w:hAnsiTheme="majorBidi" w:cstheme="majorBidi"/>
          <w:sz w:val="24"/>
          <w:szCs w:val="24"/>
        </w:rPr>
        <w:t xml:space="preserve">Klasik İslam hukuku </w:t>
      </w:r>
      <w:proofErr w:type="gramStart"/>
      <w:r w:rsidRPr="00EF405F">
        <w:rPr>
          <w:rFonts w:asciiTheme="majorBidi" w:hAnsiTheme="majorBidi" w:cstheme="majorBidi"/>
          <w:sz w:val="24"/>
          <w:szCs w:val="24"/>
        </w:rPr>
        <w:t>literatüründe</w:t>
      </w:r>
      <w:proofErr w:type="gramEnd"/>
      <w:r w:rsidRPr="00EF405F">
        <w:rPr>
          <w:rFonts w:asciiTheme="majorBidi" w:hAnsiTheme="majorBidi" w:cstheme="majorBidi"/>
          <w:sz w:val="24"/>
          <w:szCs w:val="24"/>
        </w:rPr>
        <w:t xml:space="preserve"> aile ile ilgili hükümler iki temel başlık altında ele alınmıştır. Bunlardan ilki evlilik akdi ve öncesi ile ilgili hukuki sürecin ele alındığı kitâbu’n-nikâh (münâkehât), ikincisi ise boşanma ve boşanmadan kaynaklanan hükümlerin ele alındığı kitâbu’t-talâk (müfârekât)tır. </w:t>
      </w:r>
    </w:p>
    <w:p w:rsidR="006E12C1" w:rsidRDefault="006E12C1" w:rsidP="006E12C1">
      <w:pPr>
        <w:pStyle w:val="ListeParagraf"/>
        <w:spacing w:after="0"/>
        <w:ind w:left="1417" w:right="1417" w:firstLine="336"/>
        <w:jc w:val="both"/>
        <w:rPr>
          <w:rFonts w:asciiTheme="majorBidi" w:hAnsiTheme="majorBidi" w:cstheme="majorBidi"/>
          <w:sz w:val="24"/>
          <w:szCs w:val="24"/>
        </w:rPr>
      </w:pPr>
      <w:r>
        <w:rPr>
          <w:rFonts w:asciiTheme="majorBidi" w:hAnsiTheme="majorBidi" w:cstheme="majorBidi"/>
          <w:sz w:val="24"/>
          <w:szCs w:val="24"/>
        </w:rPr>
        <w:t xml:space="preserve">Bu ünitede evlilik öncesinde ortaya çıkan hükümler ele alınmıştır. </w:t>
      </w:r>
      <w:r w:rsidRPr="00EF405F">
        <w:rPr>
          <w:rFonts w:asciiTheme="majorBidi" w:hAnsiTheme="majorBidi" w:cstheme="majorBidi"/>
          <w:sz w:val="24"/>
          <w:szCs w:val="24"/>
        </w:rPr>
        <w:t>Evliliğin hükmü</w:t>
      </w:r>
      <w:r>
        <w:rPr>
          <w:rFonts w:asciiTheme="majorBidi" w:hAnsiTheme="majorBidi" w:cstheme="majorBidi"/>
          <w:sz w:val="24"/>
          <w:szCs w:val="24"/>
        </w:rPr>
        <w:t>, hıtbe ile ilgili hükümler açıklandıktan sonra evlilik engelleri konusu etraflı bir şekilde anlatılmıştır.</w:t>
      </w:r>
    </w:p>
    <w:p w:rsidR="006E12C1" w:rsidRPr="00EF405F" w:rsidRDefault="006E12C1" w:rsidP="006E12C1">
      <w:pPr>
        <w:ind w:left="1417" w:right="1417" w:firstLine="284"/>
        <w:jc w:val="both"/>
        <w:rPr>
          <w:rFonts w:asciiTheme="majorBidi" w:hAnsiTheme="majorBidi" w:cstheme="majorBidi"/>
          <w:b/>
          <w:bCs/>
          <w:sz w:val="24"/>
          <w:szCs w:val="24"/>
        </w:rPr>
      </w:pPr>
      <w:r w:rsidRPr="00EF405F">
        <w:rPr>
          <w:rFonts w:asciiTheme="majorBidi" w:hAnsiTheme="majorBidi" w:cstheme="majorBidi"/>
          <w:sz w:val="24"/>
          <w:szCs w:val="24"/>
        </w:rPr>
        <w:t>Bir evlilik akdinin sahih ve geçerli olabilmesi için evlenmek isteyen taraflar arasında herhangi bir evlilik engeli bulunmamalıdır. Genel olarak iki tür evlenme engeli vardır. Bunlardan birincisi geçici evlenme engelleri ikincisi ise sürekli evlenme engelleridir</w:t>
      </w:r>
      <w:r>
        <w:rPr>
          <w:rFonts w:asciiTheme="majorBidi" w:hAnsiTheme="majorBidi" w:cstheme="majorBidi"/>
          <w:sz w:val="24"/>
          <w:szCs w:val="24"/>
        </w:rPr>
        <w:t xml:space="preserve">. </w:t>
      </w:r>
    </w:p>
    <w:p w:rsidR="006E12C1" w:rsidRPr="003B217A" w:rsidRDefault="006E12C1" w:rsidP="006E12C1">
      <w:pPr>
        <w:ind w:left="1417" w:right="1417" w:firstLine="282"/>
        <w:jc w:val="both"/>
        <w:rPr>
          <w:rFonts w:asciiTheme="majorBidi" w:hAnsiTheme="majorBidi" w:cstheme="majorBidi"/>
          <w:sz w:val="24"/>
          <w:szCs w:val="24"/>
        </w:rPr>
      </w:pPr>
      <w:r w:rsidRPr="00EF405F">
        <w:rPr>
          <w:rFonts w:asciiTheme="majorBidi" w:hAnsiTheme="majorBidi" w:cstheme="majorBidi"/>
          <w:sz w:val="24"/>
          <w:szCs w:val="24"/>
        </w:rPr>
        <w:t>Bir erkeğin geçici evlenme engeli nedeniyle evlenmesi haram olan kadınlar şunlardır:</w:t>
      </w:r>
      <w:r>
        <w:rPr>
          <w:rFonts w:asciiTheme="majorBidi" w:hAnsiTheme="majorBidi" w:cstheme="majorBidi"/>
          <w:sz w:val="24"/>
          <w:szCs w:val="24"/>
        </w:rPr>
        <w:t xml:space="preserve"> E</w:t>
      </w:r>
      <w:r w:rsidRPr="003B217A">
        <w:rPr>
          <w:rFonts w:asciiTheme="majorBidi" w:hAnsiTheme="majorBidi" w:cstheme="majorBidi"/>
          <w:sz w:val="24"/>
          <w:szCs w:val="24"/>
        </w:rPr>
        <w:t>vli kadın</w:t>
      </w:r>
      <w:r>
        <w:rPr>
          <w:rFonts w:asciiTheme="majorBidi" w:hAnsiTheme="majorBidi" w:cstheme="majorBidi"/>
          <w:sz w:val="24"/>
          <w:szCs w:val="24"/>
        </w:rPr>
        <w:t>,</w:t>
      </w:r>
      <w:r w:rsidRPr="003B217A">
        <w:rPr>
          <w:rFonts w:asciiTheme="majorBidi" w:hAnsiTheme="majorBidi" w:cstheme="majorBidi"/>
          <w:sz w:val="24"/>
          <w:szCs w:val="24"/>
        </w:rPr>
        <w:t xml:space="preserve"> iddet bekleyen kadın</w:t>
      </w:r>
      <w:r>
        <w:rPr>
          <w:rFonts w:asciiTheme="majorBidi" w:hAnsiTheme="majorBidi" w:cstheme="majorBidi"/>
          <w:sz w:val="24"/>
          <w:szCs w:val="24"/>
        </w:rPr>
        <w:t>,</w:t>
      </w:r>
      <w:r w:rsidRPr="003B217A">
        <w:rPr>
          <w:rFonts w:asciiTheme="majorBidi" w:hAnsiTheme="majorBidi" w:cstheme="majorBidi"/>
          <w:sz w:val="24"/>
          <w:szCs w:val="24"/>
        </w:rPr>
        <w:t xml:space="preserve"> bir semavi dine inanmayan kadın</w:t>
      </w:r>
      <w:r>
        <w:rPr>
          <w:rFonts w:asciiTheme="majorBidi" w:hAnsiTheme="majorBidi" w:cstheme="majorBidi"/>
          <w:sz w:val="24"/>
          <w:szCs w:val="24"/>
        </w:rPr>
        <w:t>,</w:t>
      </w:r>
      <w:r w:rsidRPr="003B217A">
        <w:rPr>
          <w:rFonts w:asciiTheme="majorBidi" w:hAnsiTheme="majorBidi" w:cstheme="majorBidi"/>
          <w:sz w:val="24"/>
          <w:szCs w:val="24"/>
        </w:rPr>
        <w:t xml:space="preserve"> eşin mahremi olan kadın</w:t>
      </w:r>
      <w:r>
        <w:rPr>
          <w:rFonts w:asciiTheme="majorBidi" w:hAnsiTheme="majorBidi" w:cstheme="majorBidi"/>
          <w:sz w:val="24"/>
          <w:szCs w:val="24"/>
        </w:rPr>
        <w:t>,</w:t>
      </w:r>
      <w:r w:rsidRPr="003B217A">
        <w:rPr>
          <w:rFonts w:asciiTheme="majorBidi" w:hAnsiTheme="majorBidi" w:cstheme="majorBidi"/>
          <w:sz w:val="24"/>
          <w:szCs w:val="24"/>
        </w:rPr>
        <w:t xml:space="preserve"> beşinci eş olacak kadın</w:t>
      </w:r>
      <w:r>
        <w:rPr>
          <w:rFonts w:asciiTheme="majorBidi" w:hAnsiTheme="majorBidi" w:cstheme="majorBidi"/>
          <w:sz w:val="24"/>
          <w:szCs w:val="24"/>
        </w:rPr>
        <w:t xml:space="preserve">, </w:t>
      </w:r>
      <w:r w:rsidRPr="003B217A">
        <w:rPr>
          <w:rFonts w:asciiTheme="majorBidi" w:hAnsiTheme="majorBidi" w:cstheme="majorBidi"/>
          <w:sz w:val="24"/>
          <w:szCs w:val="24"/>
        </w:rPr>
        <w:t>aynı eşten fasılasız üç kere boşanan kadın</w:t>
      </w:r>
      <w:r>
        <w:rPr>
          <w:rFonts w:asciiTheme="majorBidi" w:hAnsiTheme="majorBidi" w:cstheme="majorBidi"/>
          <w:sz w:val="24"/>
          <w:szCs w:val="24"/>
        </w:rPr>
        <w:t>.</w:t>
      </w:r>
    </w:p>
    <w:p w:rsidR="006E12C1" w:rsidRDefault="006E12C1" w:rsidP="006E12C1">
      <w:pPr>
        <w:ind w:left="1417" w:right="1417" w:firstLine="282"/>
        <w:jc w:val="both"/>
        <w:rPr>
          <w:rFonts w:asciiTheme="majorBidi" w:hAnsiTheme="majorBidi" w:cstheme="majorBidi"/>
          <w:sz w:val="24"/>
          <w:szCs w:val="24"/>
        </w:rPr>
      </w:pPr>
      <w:r w:rsidRPr="00EF405F">
        <w:rPr>
          <w:rFonts w:asciiTheme="majorBidi" w:hAnsiTheme="majorBidi" w:cstheme="majorBidi"/>
          <w:sz w:val="24"/>
          <w:szCs w:val="24"/>
        </w:rPr>
        <w:t xml:space="preserve">Sürekli evlenme engeli </w:t>
      </w:r>
      <w:r>
        <w:rPr>
          <w:rFonts w:asciiTheme="majorBidi" w:hAnsiTheme="majorBidi" w:cstheme="majorBidi"/>
          <w:sz w:val="24"/>
          <w:szCs w:val="24"/>
        </w:rPr>
        <w:t xml:space="preserve">ise </w:t>
      </w:r>
      <w:r w:rsidRPr="00EF405F">
        <w:rPr>
          <w:rFonts w:asciiTheme="majorBidi" w:hAnsiTheme="majorBidi" w:cstheme="majorBidi"/>
          <w:sz w:val="24"/>
          <w:szCs w:val="24"/>
        </w:rPr>
        <w:t>üç tanedir. Bunlardan ilki kan bağından (ne</w:t>
      </w:r>
      <w:r>
        <w:rPr>
          <w:rFonts w:asciiTheme="majorBidi" w:hAnsiTheme="majorBidi" w:cstheme="majorBidi"/>
          <w:sz w:val="24"/>
          <w:szCs w:val="24"/>
        </w:rPr>
        <w:t>sep</w:t>
      </w:r>
      <w:r w:rsidRPr="00EF405F">
        <w:rPr>
          <w:rFonts w:asciiTheme="majorBidi" w:hAnsiTheme="majorBidi" w:cstheme="majorBidi"/>
          <w:sz w:val="24"/>
          <w:szCs w:val="24"/>
        </w:rPr>
        <w:t>) dolayı oluşan evlenme engelidir. İkinci engel, yapı</w:t>
      </w:r>
      <w:r>
        <w:rPr>
          <w:rFonts w:asciiTheme="majorBidi" w:hAnsiTheme="majorBidi" w:cstheme="majorBidi"/>
          <w:sz w:val="24"/>
          <w:szCs w:val="24"/>
        </w:rPr>
        <w:t>lan bir evliliğin (sıhriyet/musâ</w:t>
      </w:r>
      <w:r w:rsidRPr="00EF405F">
        <w:rPr>
          <w:rFonts w:asciiTheme="majorBidi" w:hAnsiTheme="majorBidi" w:cstheme="majorBidi"/>
          <w:sz w:val="24"/>
          <w:szCs w:val="24"/>
        </w:rPr>
        <w:t xml:space="preserve">here) oluşturduğu akrabalık ilişkisinden dolayı gerçekleşen sürekli evlenme engelidir. Üçüncüsü ise süt emmeden (radâ) doğan sürekli evlenme engelidir. </w:t>
      </w:r>
      <w:r>
        <w:rPr>
          <w:rFonts w:asciiTheme="majorBidi" w:hAnsiTheme="majorBidi" w:cstheme="majorBidi"/>
          <w:sz w:val="24"/>
          <w:szCs w:val="24"/>
        </w:rPr>
        <w:t xml:space="preserve">Bu evlenme engelleri çerçevesinde bazı kadınlarla evlenilmesi haram kılınmıştır. Bunlar ünite içerisinde tek tek sıralanmıştır. Süt emme nedeniyle evlenilmesi haram olan kadınlar sayıldıktan sonra, </w:t>
      </w:r>
      <w:r w:rsidRPr="000F7B6A">
        <w:rPr>
          <w:rFonts w:asciiTheme="majorBidi" w:hAnsiTheme="majorBidi" w:cstheme="majorBidi"/>
          <w:sz w:val="24"/>
          <w:szCs w:val="24"/>
        </w:rPr>
        <w:t>süt emme ile ilgili çeşitli hükümlere yer verilmiştir.</w:t>
      </w:r>
      <w:r>
        <w:rPr>
          <w:rFonts w:asciiTheme="majorBidi" w:hAnsiTheme="majorBidi" w:cstheme="majorBidi"/>
          <w:sz w:val="24"/>
          <w:szCs w:val="24"/>
        </w:rPr>
        <w:t xml:space="preserve"> Özellikle </w:t>
      </w:r>
      <w:r w:rsidRPr="000F7B6A">
        <w:rPr>
          <w:rFonts w:asciiTheme="majorBidi" w:hAnsiTheme="majorBidi" w:cstheme="majorBidi"/>
          <w:sz w:val="24"/>
          <w:szCs w:val="24"/>
        </w:rPr>
        <w:t xml:space="preserve">emme miktarı, emme yaşı, sütten kesilen çocuğun </w:t>
      </w:r>
      <w:proofErr w:type="gramStart"/>
      <w:r w:rsidRPr="000F7B6A">
        <w:rPr>
          <w:rFonts w:asciiTheme="majorBidi" w:hAnsiTheme="majorBidi" w:cstheme="majorBidi"/>
          <w:sz w:val="24"/>
          <w:szCs w:val="24"/>
        </w:rPr>
        <w:t>süt anne</w:t>
      </w:r>
      <w:proofErr w:type="gramEnd"/>
      <w:r w:rsidRPr="000F7B6A">
        <w:rPr>
          <w:rFonts w:asciiTheme="majorBidi" w:hAnsiTheme="majorBidi" w:cstheme="majorBidi"/>
          <w:sz w:val="24"/>
          <w:szCs w:val="24"/>
        </w:rPr>
        <w:t xml:space="preserve"> tarafından emzirilmesi, süt emmenin tesbiti gibi önemli konular genel bir perspektiften ele alınmıştır.</w:t>
      </w:r>
      <w:r>
        <w:rPr>
          <w:rFonts w:asciiTheme="majorBidi" w:hAnsiTheme="majorBidi" w:cstheme="majorBidi"/>
          <w:b/>
          <w:bCs/>
          <w:sz w:val="24"/>
          <w:szCs w:val="24"/>
        </w:rPr>
        <w:t xml:space="preserve"> </w:t>
      </w:r>
    </w:p>
    <w:p w:rsidR="00D93C16" w:rsidRPr="006E12C1" w:rsidRDefault="006E12C1" w:rsidP="006E12C1"/>
    <w:sectPr w:rsidR="00D93C16" w:rsidRPr="006E12C1"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3F2DBA30"/>
    <w:lvl w:ilvl="0" w:tplc="FFFFFFFF">
      <w:start w:val="6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D"/>
    <w:multiLevelType w:val="hybridMultilevel"/>
    <w:tmpl w:val="7C83E458"/>
    <w:lvl w:ilvl="0" w:tplc="FFFFFFFF">
      <w:start w:val="7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E"/>
    <w:multiLevelType w:val="hybridMultilevel"/>
    <w:tmpl w:val="257130A2"/>
    <w:lvl w:ilvl="0" w:tplc="FFFFFFFF">
      <w:start w:val="7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F"/>
    <w:multiLevelType w:val="hybridMultilevel"/>
    <w:tmpl w:val="3F2DBA30"/>
    <w:lvl w:ilvl="0" w:tplc="FFFFFFFF">
      <w:start w:val="8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0"/>
    <w:multiLevelType w:val="hybridMultilevel"/>
    <w:tmpl w:val="436C6124"/>
    <w:lvl w:ilvl="0" w:tplc="FFFFFFFF">
      <w:start w:val="10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8"/>
    <w:multiLevelType w:val="hybridMultilevel"/>
    <w:tmpl w:val="7644A4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9"/>
    <w:multiLevelType w:val="hybridMultilevel"/>
    <w:tmpl w:val="32FFF902"/>
    <w:lvl w:ilvl="0" w:tplc="FFFFFFFF">
      <w:start w:val="4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A"/>
    <w:multiLevelType w:val="hybridMultilevel"/>
    <w:tmpl w:val="684A481A"/>
    <w:lvl w:ilvl="0" w:tplc="FFFFFFFF">
      <w:start w:val="5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B"/>
    <w:multiLevelType w:val="hybridMultilevel"/>
    <w:tmpl w:val="579478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C"/>
    <w:multiLevelType w:val="hybridMultilevel"/>
    <w:tmpl w:val="749ABB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D"/>
    <w:multiLevelType w:val="hybridMultilevel"/>
    <w:tmpl w:val="3DC240FA"/>
    <w:lvl w:ilvl="0" w:tplc="FFFFFFFF">
      <w:start w:val="1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E"/>
    <w:multiLevelType w:val="hybridMultilevel"/>
    <w:tmpl w:val="1BA026FA"/>
    <w:lvl w:ilvl="0" w:tplc="FFFFFFFF">
      <w:start w:val="5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F"/>
    <w:multiLevelType w:val="hybridMultilevel"/>
    <w:tmpl w:val="79A1DEAA"/>
    <w:lvl w:ilvl="0" w:tplc="FFFFFFFF">
      <w:start w:val="5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30"/>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31"/>
    <w:multiLevelType w:val="hybridMultilevel"/>
    <w:tmpl w:val="12E685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32"/>
    <w:multiLevelType w:val="hybridMultilevel"/>
    <w:tmpl w:val="70C6A52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33"/>
    <w:multiLevelType w:val="hybridMultilevel"/>
    <w:tmpl w:val="520EEDD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191B5B1F"/>
    <w:multiLevelType w:val="hybridMultilevel"/>
    <w:tmpl w:val="DF06699A"/>
    <w:lvl w:ilvl="0" w:tplc="C6E852D4">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8">
    <w:nsid w:val="2BA33FE6"/>
    <w:multiLevelType w:val="hybridMultilevel"/>
    <w:tmpl w:val="1FB8305A"/>
    <w:lvl w:ilvl="0" w:tplc="9B3E428A">
      <w:start w:val="1"/>
      <w:numFmt w:val="bullet"/>
      <w:lvlText w:val="-"/>
      <w:lvlJc w:val="left"/>
      <w:pPr>
        <w:ind w:left="1776" w:hanging="360"/>
      </w:pPr>
      <w:rPr>
        <w:rFonts w:ascii="Calibri" w:eastAsia="Times New Roman" w:hAnsi="Calibri" w:hint="default"/>
      </w:rPr>
    </w:lvl>
    <w:lvl w:ilvl="1" w:tplc="041F0003" w:tentative="1">
      <w:start w:val="1"/>
      <w:numFmt w:val="bullet"/>
      <w:lvlText w:val="o"/>
      <w:lvlJc w:val="left"/>
      <w:pPr>
        <w:ind w:left="2496" w:hanging="360"/>
      </w:pPr>
      <w:rPr>
        <w:rFonts w:ascii="Courier New" w:hAnsi="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hint="default"/>
      </w:rPr>
    </w:lvl>
    <w:lvl w:ilvl="8" w:tplc="041F0005" w:tentative="1">
      <w:start w:val="1"/>
      <w:numFmt w:val="bullet"/>
      <w:lvlText w:val=""/>
      <w:lvlJc w:val="left"/>
      <w:pPr>
        <w:ind w:left="7536"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3"/>
  </w:num>
  <w:num w:numId="14">
    <w:abstractNumId w:val="0"/>
  </w:num>
  <w:num w:numId="15">
    <w:abstractNumId w:val="1"/>
  </w:num>
  <w:num w:numId="16">
    <w:abstractNumId w:val="2"/>
  </w:num>
  <w:num w:numId="17">
    <w:abstractNumId w:val="4"/>
  </w:num>
  <w:num w:numId="18">
    <w:abstractNumId w:val="18"/>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0C4B63"/>
    <w:rsid w:val="000C4B63"/>
    <w:rsid w:val="002A53F2"/>
    <w:rsid w:val="00354863"/>
    <w:rsid w:val="00402397"/>
    <w:rsid w:val="004770FD"/>
    <w:rsid w:val="00534153"/>
    <w:rsid w:val="0061338C"/>
    <w:rsid w:val="00656B16"/>
    <w:rsid w:val="00680C6B"/>
    <w:rsid w:val="006E12C1"/>
    <w:rsid w:val="00B85424"/>
    <w:rsid w:val="00CB305E"/>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B63"/>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E12C1"/>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5</cp:revision>
  <dcterms:created xsi:type="dcterms:W3CDTF">2020-07-17T16:21:00Z</dcterms:created>
  <dcterms:modified xsi:type="dcterms:W3CDTF">2020-07-18T03:17:00Z</dcterms:modified>
</cp:coreProperties>
</file>