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78B" w:rsidRPr="00C11625" w:rsidRDefault="0060278B" w:rsidP="0060278B">
      <w:pPr>
        <w:pStyle w:val="ListeParagraf"/>
        <w:numPr>
          <w:ilvl w:val="0"/>
          <w:numId w:val="7"/>
        </w:numPr>
        <w:spacing w:after="0" w:line="240" w:lineRule="auto"/>
        <w:ind w:left="1418" w:right="1418"/>
        <w:jc w:val="both"/>
        <w:rPr>
          <w:rFonts w:asciiTheme="majorBidi" w:hAnsiTheme="majorBidi" w:cstheme="majorBidi"/>
          <w:b/>
          <w:bCs/>
          <w:sz w:val="24"/>
          <w:szCs w:val="24"/>
        </w:rPr>
      </w:pPr>
      <w:r w:rsidRPr="00C11625">
        <w:rPr>
          <w:rFonts w:asciiTheme="majorBidi" w:hAnsiTheme="majorBidi" w:cstheme="majorBidi"/>
          <w:b/>
          <w:bCs/>
          <w:sz w:val="24"/>
          <w:szCs w:val="24"/>
        </w:rPr>
        <w:t>Akdin Sîğasında (Îcâb ve Kabûl) Bulunması Gereken Şartlar</w:t>
      </w:r>
    </w:p>
    <w:p w:rsidR="0060278B" w:rsidRPr="00C11625" w:rsidRDefault="0060278B" w:rsidP="0060278B">
      <w:pPr>
        <w:pStyle w:val="ListeParagraf"/>
        <w:numPr>
          <w:ilvl w:val="0"/>
          <w:numId w:val="8"/>
        </w:numPr>
        <w:spacing w:after="0" w:line="240" w:lineRule="auto"/>
        <w:ind w:left="1418" w:right="1418" w:hanging="283"/>
        <w:jc w:val="both"/>
        <w:rPr>
          <w:rFonts w:asciiTheme="majorBidi" w:hAnsiTheme="majorBidi" w:cstheme="majorBidi"/>
          <w:b/>
          <w:bCs/>
          <w:sz w:val="24"/>
          <w:szCs w:val="24"/>
        </w:rPr>
      </w:pPr>
      <w:r w:rsidRPr="00C11625">
        <w:rPr>
          <w:rFonts w:asciiTheme="majorBidi" w:hAnsiTheme="majorBidi" w:cstheme="majorBidi"/>
          <w:sz w:val="24"/>
          <w:szCs w:val="24"/>
        </w:rPr>
        <w:t xml:space="preserve">Îcâb ile kabûlün aynı akit meclisi içerisinde gerçekleştirilmiş olması gerekir. Buna göre îcâbdan sonra, taraflardan biri kısa süre için de olsa o ortamı terk ederse ya da nikâh akdi dışında sayılabilecek başka bir işle ilgilenirse meclis değişmiş olur. Ancak îcâbın yapıldığı meclisten ayrılmaksızın ve başka bir iş yapmaksızın beklerler ise bu durumda meclis bozulmuş olmaz. Karşı taraf îcâbı duyduktan sonra meclisi terk etmeksizin uzunca bir süre beklese ve bir süre sonra îcâbı kabûl etse, icab ile kabul aynı mecliste gerçekleşmiş olur. Meclisin değişmesi konusunda belirleyici olan örftür. </w:t>
      </w:r>
    </w:p>
    <w:p w:rsidR="0060278B" w:rsidRPr="00C11625" w:rsidRDefault="0060278B" w:rsidP="0060278B">
      <w:pPr>
        <w:pStyle w:val="ListeParagraf"/>
        <w:spacing w:after="0" w:line="240" w:lineRule="auto"/>
        <w:ind w:left="1418" w:right="1418" w:firstLine="423"/>
        <w:jc w:val="both"/>
        <w:rPr>
          <w:rFonts w:asciiTheme="majorBidi" w:hAnsiTheme="majorBidi" w:cstheme="majorBidi"/>
          <w:sz w:val="24"/>
          <w:szCs w:val="24"/>
        </w:rPr>
      </w:pPr>
      <w:r w:rsidRPr="00C11625">
        <w:rPr>
          <w:rFonts w:asciiTheme="majorBidi" w:hAnsiTheme="majorBidi" w:cstheme="majorBidi"/>
          <w:sz w:val="24"/>
          <w:szCs w:val="24"/>
        </w:rPr>
        <w:t xml:space="preserve">Daha önce de belirtildiği üzere akdin tarafları birbirinden uzakta oldukları halde de mektup, elçi ya da kitle iletişim araçları yoluyla irade beyanını ortaya koyabilirler. </w:t>
      </w:r>
    </w:p>
    <w:p w:rsidR="0060278B" w:rsidRPr="00C11625" w:rsidRDefault="0060278B" w:rsidP="0060278B">
      <w:pPr>
        <w:pStyle w:val="ListeParagraf"/>
        <w:spacing w:after="0" w:line="240" w:lineRule="auto"/>
        <w:ind w:left="1418" w:right="1418" w:firstLine="423"/>
        <w:jc w:val="both"/>
        <w:rPr>
          <w:rFonts w:asciiTheme="majorBidi" w:hAnsiTheme="majorBidi" w:cstheme="majorBidi"/>
          <w:sz w:val="24"/>
          <w:szCs w:val="24"/>
        </w:rPr>
      </w:pPr>
      <w:r w:rsidRPr="00C11625">
        <w:rPr>
          <w:rFonts w:asciiTheme="majorBidi" w:hAnsiTheme="majorBidi" w:cstheme="majorBidi"/>
          <w:sz w:val="24"/>
          <w:szCs w:val="24"/>
        </w:rPr>
        <w:t xml:space="preserve">Hanefîlere göre, tarafların akit meclisinde bulunmaması halinde mektup yoluyla irade beyanı mümkündür. Bu durumda, îcâb mektup ile ya da elçi vasıtasıyla ifade edilir. Mektubu alan, şahitlerin huzurunda mektubu okuyarak sözlü bir şekilde îcâbı kabul ettiğini beyan eder. Mektup yerine elçi yoluyla da îcâb ifade edilebilir. Bu durumda elçi, îcâbı şahitlerin huzurunda ifade eder. Karşı tarafın bu îcâbı kabul etmesi halinde akit gerçekleşmiş olur. </w:t>
      </w:r>
    </w:p>
    <w:p w:rsidR="0060278B" w:rsidRPr="00C11625" w:rsidRDefault="0060278B" w:rsidP="0060278B">
      <w:pPr>
        <w:pStyle w:val="ListeParagraf"/>
        <w:spacing w:after="0" w:line="240" w:lineRule="auto"/>
        <w:ind w:left="1418" w:right="1418" w:firstLine="423"/>
        <w:jc w:val="both"/>
        <w:rPr>
          <w:rFonts w:asciiTheme="majorBidi" w:hAnsiTheme="majorBidi" w:cstheme="majorBidi"/>
          <w:sz w:val="24"/>
          <w:szCs w:val="24"/>
        </w:rPr>
      </w:pPr>
      <w:r w:rsidRPr="00C11625">
        <w:rPr>
          <w:rFonts w:asciiTheme="majorBidi" w:hAnsiTheme="majorBidi" w:cstheme="majorBidi"/>
          <w:sz w:val="24"/>
          <w:szCs w:val="24"/>
        </w:rPr>
        <w:t xml:space="preserve">Bazı fakihler tarafından meclis birliği konusunda mektup ile elçilik arasında şöyle bir fark olduğu ifade edilmiştir: Elçinin mesajı sözlü olarak nakletmesi ile oluşan mecliste, karşı taraf bu teklifi kabul etmez, daha sonra fikir değiştirerek, başka bir mecliste evlenme teklifini kabul eder ise akit gerçekleşmez. Çünkü ilk meclisteki red ile birlikte îcâbın hukukî geçerliliği kalkmıştır. Fakat mektubu alan kişi, mektubu aldığı anda oluşan mecliste îcâbı kabul etmek zorunda değildir. İsterse bu mektubu bir süre tutup, îcâbı kabul etmeye karar verdiğinde şahitleri çağırarak, kabulünü beyan edebilir. </w:t>
      </w:r>
    </w:p>
    <w:p w:rsidR="0060278B" w:rsidRPr="00C11625" w:rsidRDefault="0060278B" w:rsidP="0060278B">
      <w:pPr>
        <w:pStyle w:val="ListeParagraf"/>
        <w:spacing w:after="0" w:line="240" w:lineRule="auto"/>
        <w:ind w:left="1418" w:right="1418" w:firstLine="423"/>
        <w:jc w:val="both"/>
        <w:rPr>
          <w:rFonts w:asciiTheme="majorBidi" w:hAnsiTheme="majorBidi" w:cstheme="majorBidi"/>
          <w:sz w:val="24"/>
          <w:szCs w:val="24"/>
        </w:rPr>
      </w:pPr>
      <w:r w:rsidRPr="00C11625">
        <w:rPr>
          <w:rFonts w:asciiTheme="majorBidi" w:hAnsiTheme="majorBidi" w:cstheme="majorBidi"/>
          <w:sz w:val="24"/>
          <w:szCs w:val="24"/>
        </w:rPr>
        <w:t>Konu daha etraflıca düşünüldüğünde,  icabı mektup yoluyla alan bir kimsenin tıpkı elçi yolu ile alan kimse gibi kabûlü o meclis içerisinde ifade etmesinin daha doğru olduğu anlaşılmaktadır. Zîra burada gerek elçi gerekse mektup yoluyla ifade edilen, basit bir evlenme teklifi değil; akdi doğuran îcâbdır. Dolayısıyla îcâbın iletildiği meclis, akid meclisi gibi değerlendirilmelidir. Bu meclisin uzatılması, îcâb sahibine çeşitli açılardan zarar verebilir. Bu açıdan îcâbın alındığı ilk meclisten sonra yapılan kabûl, muteber değildir.</w:t>
      </w:r>
    </w:p>
    <w:p w:rsidR="0060278B" w:rsidRPr="00C11625" w:rsidRDefault="0060278B" w:rsidP="0060278B">
      <w:pPr>
        <w:pStyle w:val="ListeParagraf"/>
        <w:numPr>
          <w:ilvl w:val="0"/>
          <w:numId w:val="8"/>
        </w:numPr>
        <w:spacing w:after="0" w:line="240" w:lineRule="auto"/>
        <w:ind w:left="1418" w:right="1418" w:hanging="283"/>
        <w:jc w:val="both"/>
        <w:rPr>
          <w:rFonts w:asciiTheme="majorBidi" w:hAnsiTheme="majorBidi" w:cstheme="majorBidi"/>
          <w:sz w:val="24"/>
          <w:szCs w:val="24"/>
        </w:rPr>
      </w:pPr>
      <w:r w:rsidRPr="00C11625">
        <w:rPr>
          <w:rFonts w:asciiTheme="majorBidi" w:hAnsiTheme="majorBidi" w:cstheme="majorBidi"/>
          <w:sz w:val="24"/>
          <w:szCs w:val="24"/>
        </w:rPr>
        <w:t>Îcâbda bulunan kimsenin (mûcîb), karşı tarafın kabûlünden önce, îcâbından vazgeçmemiş olması. Eğer mûcib îcâbından vazgeçerse, kabûlün bir anlamı kalmaz. Eğer mûcib kabul gerçekleştikten sonra îcâbından vazgeçse bile nikâh gerçekleşmiş olur.</w:t>
      </w:r>
    </w:p>
    <w:p w:rsidR="0060278B" w:rsidRPr="00C11625" w:rsidRDefault="0060278B" w:rsidP="0060278B">
      <w:pPr>
        <w:pStyle w:val="ListeParagraf"/>
        <w:numPr>
          <w:ilvl w:val="0"/>
          <w:numId w:val="8"/>
        </w:numPr>
        <w:spacing w:after="0" w:line="240" w:lineRule="auto"/>
        <w:ind w:left="1418" w:right="1418" w:hanging="283"/>
        <w:jc w:val="both"/>
        <w:rPr>
          <w:rFonts w:asciiTheme="majorBidi" w:hAnsiTheme="majorBidi" w:cstheme="majorBidi"/>
          <w:b/>
          <w:bCs/>
          <w:sz w:val="24"/>
          <w:szCs w:val="24"/>
        </w:rPr>
      </w:pPr>
      <w:r w:rsidRPr="00C11625">
        <w:rPr>
          <w:rFonts w:asciiTheme="majorBidi" w:hAnsiTheme="majorBidi" w:cstheme="majorBidi"/>
          <w:sz w:val="24"/>
          <w:szCs w:val="24"/>
        </w:rPr>
        <w:t xml:space="preserve">Kabûlün îcâba muhalif olmaması. Özellikle şart içeren irade beyanlarında bu husus önem arz etmektedir. Fakat îcâbda koşulan şart, kabulde fazlası ile kabul ediliyor ise bu, kabulün </w:t>
      </w:r>
      <w:r w:rsidRPr="00C11625">
        <w:rPr>
          <w:rFonts w:asciiTheme="majorBidi" w:hAnsiTheme="majorBidi" w:cstheme="majorBidi"/>
          <w:sz w:val="24"/>
          <w:szCs w:val="24"/>
        </w:rPr>
        <w:lastRenderedPageBreak/>
        <w:t xml:space="preserve">îcâba muhalif olması anlamına gelmez. Örneğin erkeğin “100 lira mehirle evlenme” gibi bir teklif içeren icabına karşılık, kadının “50 lira mehirle evlenmeyi” kabul etmesi halinde muhalefet söz konusu olmaz. </w:t>
      </w:r>
    </w:p>
    <w:p w:rsidR="0060278B" w:rsidRPr="00AD50CF" w:rsidRDefault="0060278B" w:rsidP="0060278B">
      <w:pPr>
        <w:pStyle w:val="ListeParagraf"/>
        <w:numPr>
          <w:ilvl w:val="0"/>
          <w:numId w:val="8"/>
        </w:numPr>
        <w:spacing w:after="0" w:line="240" w:lineRule="auto"/>
        <w:ind w:left="1418" w:right="1418" w:hanging="283"/>
        <w:jc w:val="both"/>
        <w:rPr>
          <w:rFonts w:asciiTheme="majorBidi" w:hAnsiTheme="majorBidi" w:cstheme="majorBidi"/>
          <w:b/>
          <w:bCs/>
          <w:sz w:val="24"/>
          <w:szCs w:val="24"/>
        </w:rPr>
      </w:pPr>
      <w:r w:rsidRPr="00C11625">
        <w:rPr>
          <w:rFonts w:asciiTheme="majorBidi" w:hAnsiTheme="majorBidi" w:cstheme="majorBidi"/>
          <w:sz w:val="24"/>
          <w:szCs w:val="24"/>
        </w:rPr>
        <w:t xml:space="preserve">Siğanın gelecek zamana ya da gerçeklemesi beklenilen bir şarta bağlanmaması. Örneğin bir kimsenin ister icap ister kabul olsun, evlenme konusunda irade beyanında bulunurken “gelecek aydan başlamak üzere senle evlendim” ya da “babam razı olursa senle evlendim” gibi ifadeler kullanması halinde sîğada kesinlik eksik kalır. Kullanılan ifadeler, kullanıldığı andan itibaren tarafları karı koca niteliğine kavuşturacak kesinlikte (tencîz) olmalıdır. Terim olarak, irade beyanının gelecek zamana bağlanmasına </w:t>
      </w:r>
      <w:r w:rsidRPr="00C11625">
        <w:rPr>
          <w:rFonts w:asciiTheme="majorBidi" w:hAnsiTheme="majorBidi" w:cstheme="majorBidi"/>
          <w:i/>
          <w:iCs/>
          <w:sz w:val="24"/>
          <w:szCs w:val="24"/>
        </w:rPr>
        <w:t>izâfe</w:t>
      </w:r>
      <w:r w:rsidRPr="00C11625">
        <w:rPr>
          <w:rFonts w:asciiTheme="majorBidi" w:hAnsiTheme="majorBidi" w:cstheme="majorBidi"/>
          <w:sz w:val="24"/>
          <w:szCs w:val="24"/>
        </w:rPr>
        <w:t xml:space="preserve">; gerçekleşmesi beklenilen bir şarta bağlanmasına ise </w:t>
      </w:r>
      <w:r w:rsidRPr="00C11625">
        <w:rPr>
          <w:rFonts w:asciiTheme="majorBidi" w:hAnsiTheme="majorBidi" w:cstheme="majorBidi"/>
          <w:i/>
          <w:iCs/>
          <w:sz w:val="24"/>
          <w:szCs w:val="24"/>
        </w:rPr>
        <w:t>ta’lîk</w:t>
      </w:r>
      <w:r w:rsidRPr="00C11625">
        <w:rPr>
          <w:rFonts w:asciiTheme="majorBidi" w:hAnsiTheme="majorBidi" w:cstheme="majorBidi"/>
          <w:sz w:val="24"/>
          <w:szCs w:val="24"/>
        </w:rPr>
        <w:t xml:space="preserve"> denir. Ancak geçmiş zamanla ilgili bir şart ileri sürülmüşse bu durumda irade beyanı geçerli sayılabilir. Örneğin; icâba karşılık olarak, kız “babam da razı olursa senle evlenmeyi kabul ediyorum” derse bu kabul geçerli olmaz. Ancak kızın bu sözü üzerine erkek “ben babanla konuştum onun da bu konuda rızasını aldım” derse, kız da “eğer babam razı oldu ise ben de seninle evlenmeyi kabul ediyorum” cevabını verirse ve erkeğin, kızın babasının rızasını alma konusunda doğru söylediği anlaşılırsa nikâh gerçekleşmiş olur.</w:t>
      </w:r>
    </w:p>
    <w:p w:rsidR="0060278B" w:rsidRPr="00C11625" w:rsidRDefault="0060278B" w:rsidP="0060278B">
      <w:pPr>
        <w:ind w:left="1418" w:right="1418" w:firstLine="346"/>
        <w:jc w:val="both"/>
        <w:rPr>
          <w:rFonts w:asciiTheme="majorBidi" w:hAnsiTheme="majorBidi" w:cstheme="majorBidi"/>
          <w:sz w:val="24"/>
          <w:szCs w:val="24"/>
        </w:rPr>
      </w:pPr>
      <w:r w:rsidRPr="00C11625">
        <w:rPr>
          <w:rFonts w:asciiTheme="majorBidi" w:hAnsiTheme="majorBidi" w:cstheme="majorBidi"/>
          <w:sz w:val="24"/>
          <w:szCs w:val="24"/>
        </w:rPr>
        <w:t xml:space="preserve">Görüldüğü gibi burada söz konusu edilen şart, nikâh akdinin gerçekleşebilmesi için ileri sürülen bir şarttır. Başka bir deyişle “şu şart gerçekleşirse seninle evlenmeyi kabul ediyorum” şeklinde ifade edilen bir şarttır. Bu şart evlilik öncesi için ileri sürülen bir şarttır. Bu şarttan farklı olarak, bir de tarafların evlilik sonrası için şartlar sürmeleri söz konusu olabilir. Örneğin kadının “sadece filan şehirde ya da filan mahallede oturmak şartıyla seninle evlenmeyi kabul ediyorum” gibi bir ifade kullanarak evlilik sonrası ile ilgili bir şart ileri sürmesi söz konusu olabilir. </w:t>
      </w:r>
    </w:p>
    <w:p w:rsidR="0060278B" w:rsidRPr="00C11625" w:rsidRDefault="0060278B" w:rsidP="0060278B">
      <w:pPr>
        <w:ind w:left="1418" w:right="1418" w:firstLine="346"/>
        <w:jc w:val="both"/>
        <w:rPr>
          <w:rFonts w:asciiTheme="majorBidi" w:hAnsiTheme="majorBidi" w:cstheme="majorBidi"/>
          <w:sz w:val="24"/>
          <w:szCs w:val="24"/>
        </w:rPr>
      </w:pPr>
      <w:r w:rsidRPr="00C11625">
        <w:rPr>
          <w:rFonts w:asciiTheme="majorBidi" w:hAnsiTheme="majorBidi" w:cstheme="majorBidi"/>
          <w:sz w:val="24"/>
          <w:szCs w:val="24"/>
        </w:rPr>
        <w:t>Evlilik akdinin taraflarınca ileri sürülen bu tür şartların hukukî geçerliliği konusunda çeşitli görüşler ileri sürülmüştür. Bu görüşler ileri sürülürken evliliğin “</w:t>
      </w:r>
      <w:r w:rsidRPr="00C11625">
        <w:rPr>
          <w:rFonts w:asciiTheme="majorBidi" w:hAnsiTheme="majorBidi" w:cstheme="majorBidi"/>
          <w:i/>
          <w:iCs/>
          <w:sz w:val="24"/>
          <w:szCs w:val="24"/>
        </w:rPr>
        <w:t>maksadı</w:t>
      </w:r>
      <w:r w:rsidRPr="00C11625">
        <w:rPr>
          <w:rFonts w:asciiTheme="majorBidi" w:hAnsiTheme="majorBidi" w:cstheme="majorBidi"/>
          <w:sz w:val="24"/>
          <w:szCs w:val="24"/>
        </w:rPr>
        <w:t>” ve “</w:t>
      </w:r>
      <w:r w:rsidRPr="00C11625">
        <w:rPr>
          <w:rFonts w:asciiTheme="majorBidi" w:hAnsiTheme="majorBidi" w:cstheme="majorBidi"/>
          <w:i/>
          <w:iCs/>
          <w:sz w:val="24"/>
          <w:szCs w:val="24"/>
        </w:rPr>
        <w:t>muktezası</w:t>
      </w:r>
      <w:r w:rsidRPr="00C11625">
        <w:rPr>
          <w:rFonts w:asciiTheme="majorBidi" w:hAnsiTheme="majorBidi" w:cstheme="majorBidi"/>
          <w:sz w:val="24"/>
          <w:szCs w:val="24"/>
        </w:rPr>
        <w:t>” kavramlarından hareket edilmiştir. Buna göre evliliğin maksadı taraflardan birinin geri durma hakkı bulunmayan şeylerdir. Buna göre “cinsel birliktelikte bulunma”, “karşılıklı miras hakkının doğması” evliliğin maksadıdır.  Evliliğin muktezası ise evlilik akdi ile birlikte oluşan fakat feragat edilmesi mümkün olan haklardır. Örneğin mesken, nafaka vb haklarla ilgili olarak ileri sürülen şartlar evliliğin muktezası ile ilgilidir. Bu konudaki hükümleri maddeler halinde sıralayalım:</w:t>
      </w:r>
    </w:p>
    <w:p w:rsidR="0060278B" w:rsidRPr="00C11625" w:rsidRDefault="0060278B" w:rsidP="0060278B">
      <w:pPr>
        <w:pStyle w:val="ListeParagraf"/>
        <w:numPr>
          <w:ilvl w:val="0"/>
          <w:numId w:val="6"/>
        </w:numPr>
        <w:spacing w:after="0" w:line="240" w:lineRule="auto"/>
        <w:ind w:left="1418" w:right="1418"/>
        <w:jc w:val="both"/>
        <w:rPr>
          <w:rFonts w:asciiTheme="majorBidi" w:hAnsiTheme="majorBidi" w:cstheme="majorBidi"/>
          <w:color w:val="FF0000"/>
          <w:sz w:val="24"/>
          <w:szCs w:val="24"/>
        </w:rPr>
      </w:pPr>
      <w:r w:rsidRPr="00C11625">
        <w:rPr>
          <w:rFonts w:asciiTheme="majorBidi" w:hAnsiTheme="majorBidi" w:cstheme="majorBidi"/>
          <w:sz w:val="24"/>
          <w:szCs w:val="24"/>
        </w:rPr>
        <w:t>Nikâhın maksadını ortadan kaldırmaya yönelik olarak ileri sürülen şartlar geçersizdir (bâtıl). Örneğin taraflardan birinin cinsel birliktelikte bulunmamayı ya da</w:t>
      </w:r>
      <w:r w:rsidRPr="00C11625">
        <w:rPr>
          <w:rFonts w:asciiTheme="majorBidi" w:hAnsiTheme="majorBidi" w:cstheme="majorBidi"/>
          <w:color w:val="FF0000"/>
          <w:sz w:val="24"/>
          <w:szCs w:val="24"/>
        </w:rPr>
        <w:t xml:space="preserve"> </w:t>
      </w:r>
      <w:r w:rsidRPr="00C11625">
        <w:rPr>
          <w:rFonts w:asciiTheme="majorBidi" w:hAnsiTheme="majorBidi" w:cstheme="majorBidi"/>
          <w:sz w:val="24"/>
          <w:szCs w:val="24"/>
        </w:rPr>
        <w:t>çocuk sahibi olmamayı şart koşarak evlenmeyi kabul etmesi halinde Hanefî ve Hanbelî mezheplerine göre akid geçerli, şart ise geçersiz olur.</w:t>
      </w:r>
      <w:r w:rsidRPr="00C11625">
        <w:rPr>
          <w:rFonts w:asciiTheme="majorBidi" w:hAnsiTheme="majorBidi" w:cstheme="majorBidi"/>
          <w:color w:val="FF0000"/>
          <w:sz w:val="24"/>
          <w:szCs w:val="24"/>
        </w:rPr>
        <w:t xml:space="preserve"> </w:t>
      </w:r>
      <w:r w:rsidRPr="00C11625">
        <w:rPr>
          <w:rFonts w:asciiTheme="majorBidi" w:hAnsiTheme="majorBidi" w:cstheme="majorBidi"/>
          <w:sz w:val="24"/>
          <w:szCs w:val="24"/>
        </w:rPr>
        <w:t xml:space="preserve">Şâfiî ve Mâlikî mezhebine göre ise bu durumda akid de geçersizdir. Ancak taraflar bu akdin geçersizliğini bilmeden cinsel birliktelik </w:t>
      </w:r>
      <w:r w:rsidRPr="00C11625">
        <w:rPr>
          <w:rFonts w:asciiTheme="majorBidi" w:hAnsiTheme="majorBidi" w:cstheme="majorBidi"/>
          <w:sz w:val="24"/>
          <w:szCs w:val="24"/>
        </w:rPr>
        <w:lastRenderedPageBreak/>
        <w:t xml:space="preserve">yaşamışlarsa akid geçerli sayılır. İleri sürülen şartlar ise geçerli değildir. </w:t>
      </w:r>
    </w:p>
    <w:p w:rsidR="0060278B" w:rsidRPr="00C11625" w:rsidRDefault="0060278B" w:rsidP="0060278B">
      <w:pPr>
        <w:pStyle w:val="ListeParagraf"/>
        <w:numPr>
          <w:ilvl w:val="0"/>
          <w:numId w:val="6"/>
        </w:numPr>
        <w:spacing w:after="0" w:line="240" w:lineRule="auto"/>
        <w:ind w:left="1418" w:right="1418"/>
        <w:jc w:val="both"/>
        <w:rPr>
          <w:rFonts w:asciiTheme="majorBidi" w:hAnsiTheme="majorBidi" w:cstheme="majorBidi"/>
          <w:sz w:val="24"/>
          <w:szCs w:val="24"/>
        </w:rPr>
      </w:pPr>
      <w:r w:rsidRPr="00C11625">
        <w:rPr>
          <w:rFonts w:asciiTheme="majorBidi" w:hAnsiTheme="majorBidi" w:cstheme="majorBidi"/>
          <w:sz w:val="24"/>
          <w:szCs w:val="24"/>
        </w:rPr>
        <w:t>Evlenme akdinin maksadı ile değil de muktezası ile çelişen ve taraflardan biri lehine avantaj sağlayıp diğer tarafın haklarını daraltan şartlar konusunda da çeşitli yaklaşımlar vardır. Örneğin kadının şehir dışına gitmeme ya da taraflardan birinin belirli bir süre evli kaldıktan sonra boşanma şartını koşması, bu tür şartlardır. Zira bu tür bir şart koşan kimse, her ne kadar nikâhın maksadını ortadan kaldırmaya çalışmamakta ise de akdin muktezasını daraltmakta ve kendi lehine tek taraflı bir maslahat elde etmeye çalışmaktadır. Hanefi ve Şâfiî mezhebine göre bu tür şartlar geçersiz, akid ise geçerlidir. Mâlikîler ise akdin muktezâsını daraltan şartları akdin maksadı ile çelişen şartlar gibi görmekte ve böyle bir şartın ileri sürülmesi halinde hem şartın hem de akdin geçersiz olacağını söylemektedirler. Ancak onlara göre kadının belirli bir şehirde yaşamayı şart koşması akdin muktezasını zedelememektedir. Dolayısıyla böyle bir şart koşulabilir ve bu şartın erkek tarafından yerine getirilmesi gerekir. Fakat onlara göre kadın farklı evlerde yaşama şartını koşmuş olsaydı bu, akdin muktezası olan “aile birlikteliği” ilkesine ayrı düşen bir şart olurdu ve bu durumda hem şart hem de akit fasit olurdu. Hanbelî mezhebi ise akdin maksadını ve muktezasını zedelemeyip tek taraflı bir maslahat temin etmeye yönelik bu tür şartların geçerli olduğunu ve yerine getirilmesi gerektiğini savunmaktadır.</w:t>
      </w:r>
    </w:p>
    <w:p w:rsidR="0060278B" w:rsidRPr="00C11625" w:rsidRDefault="0060278B" w:rsidP="0060278B">
      <w:pPr>
        <w:pStyle w:val="ListeParagraf"/>
        <w:spacing w:after="0" w:line="240" w:lineRule="auto"/>
        <w:ind w:left="1418" w:right="1418" w:firstLine="346"/>
        <w:jc w:val="both"/>
        <w:rPr>
          <w:rFonts w:asciiTheme="majorBidi" w:hAnsiTheme="majorBidi" w:cstheme="majorBidi"/>
          <w:sz w:val="24"/>
          <w:szCs w:val="24"/>
        </w:rPr>
      </w:pPr>
      <w:r w:rsidRPr="00C11625">
        <w:rPr>
          <w:rFonts w:asciiTheme="majorBidi" w:hAnsiTheme="majorBidi" w:cstheme="majorBidi"/>
          <w:sz w:val="24"/>
          <w:szCs w:val="24"/>
        </w:rPr>
        <w:t>Görüldüğü üzere nikâh akdi esnasında ileri sürülen şartlar konusunda, farklı görüşler bulunmaktadır. Bazı fakîhler, evliliğin daha sağlam temellere oturtulabilmesi açısından nikâh akdi esnasında mümkün mertebe ek şart koşulmamasının daha uygun olacağını ifade etmişlerdir. Ancak nikâhın maksat ve muktezası ile çelişmeyen şartlar ileri sürüldüğünde ihtiyaten hem akdin hem de şartın dikkate alınması daha uygundur. Zira, örneğin “başka şehre taşınmamak” gibi bir şart ileri süren kişi, evlenme konusundaki rızasını bu şarta bağlamaktadır. Kişinin evlenme bayanının dikkate alınıp ileri sürdüğü şartın dikkate alınmaması, nikâh akdi esnasında ortaya konması gereken “karşılıklı rıza” konusunda kuşkular doğuracaktır. Ayrıca ileri sürülen şartın gerçekleştirilmemesi halinde karı koca arasında aileyi sarsacak anlaşmazlıklar ortaya çıkabileceği unutulmamalıdır.</w:t>
      </w:r>
    </w:p>
    <w:p w:rsidR="00D93C16" w:rsidRPr="0060278B" w:rsidRDefault="0060278B" w:rsidP="0060278B"/>
    <w:sectPr w:rsidR="00D93C16" w:rsidRPr="0060278B"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hybridMultilevel"/>
    <w:tmpl w:val="4E6AFB66"/>
    <w:lvl w:ilvl="0" w:tplc="FFFFFFFF">
      <w:start w:val="36"/>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A"/>
    <w:multiLevelType w:val="hybridMultilevel"/>
    <w:tmpl w:val="25E45D32"/>
    <w:lvl w:ilvl="0" w:tplc="FFFFFFFF">
      <w:start w:val="43"/>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B"/>
    <w:multiLevelType w:val="hybridMultilevel"/>
    <w:tmpl w:val="519B500C"/>
    <w:lvl w:ilvl="0" w:tplc="FFFFFFFF">
      <w:start w:val="4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C"/>
    <w:multiLevelType w:val="hybridMultilevel"/>
    <w:tmpl w:val="431BD7B6"/>
    <w:lvl w:ilvl="0" w:tplc="FFFFFFFF">
      <w:start w:val="5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5"/>
    <w:multiLevelType w:val="hybridMultilevel"/>
    <w:tmpl w:val="333AB104"/>
    <w:lvl w:ilvl="0" w:tplc="FFFFFFFF">
      <w:start w:val="1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3715627B"/>
    <w:multiLevelType w:val="hybridMultilevel"/>
    <w:tmpl w:val="3B6AD5EE"/>
    <w:lvl w:ilvl="0" w:tplc="A662663A">
      <w:start w:val="1"/>
      <w:numFmt w:val="decimal"/>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6">
    <w:nsid w:val="3CD629E8"/>
    <w:multiLevelType w:val="hybridMultilevel"/>
    <w:tmpl w:val="205CD2A4"/>
    <w:lvl w:ilvl="0" w:tplc="5504DD18">
      <w:start w:val="2"/>
      <w:numFmt w:val="bullet"/>
      <w:lvlText w:val="-"/>
      <w:lvlJc w:val="left"/>
      <w:pPr>
        <w:ind w:left="1778" w:hanging="360"/>
      </w:pPr>
      <w:rPr>
        <w:rFonts w:ascii="Calibri" w:eastAsiaTheme="minorHAnsi" w:hAnsi="Calibri" w:cstheme="minorBidi" w:hint="default"/>
        <w:color w:val="auto"/>
      </w:rPr>
    </w:lvl>
    <w:lvl w:ilvl="1" w:tplc="041F0003" w:tentative="1">
      <w:start w:val="1"/>
      <w:numFmt w:val="bullet"/>
      <w:lvlText w:val="o"/>
      <w:lvlJc w:val="left"/>
      <w:pPr>
        <w:ind w:left="2498" w:hanging="360"/>
      </w:pPr>
      <w:rPr>
        <w:rFonts w:ascii="Courier New" w:hAnsi="Courier New" w:cs="Courier New" w:hint="default"/>
      </w:rPr>
    </w:lvl>
    <w:lvl w:ilvl="2" w:tplc="041F0005" w:tentative="1">
      <w:start w:val="1"/>
      <w:numFmt w:val="bullet"/>
      <w:lvlText w:val=""/>
      <w:lvlJc w:val="left"/>
      <w:pPr>
        <w:ind w:left="3218" w:hanging="360"/>
      </w:pPr>
      <w:rPr>
        <w:rFonts w:ascii="Wingdings" w:hAnsi="Wingdings" w:hint="default"/>
      </w:rPr>
    </w:lvl>
    <w:lvl w:ilvl="3" w:tplc="041F0001" w:tentative="1">
      <w:start w:val="1"/>
      <w:numFmt w:val="bullet"/>
      <w:lvlText w:val=""/>
      <w:lvlJc w:val="left"/>
      <w:pPr>
        <w:ind w:left="3938" w:hanging="360"/>
      </w:pPr>
      <w:rPr>
        <w:rFonts w:ascii="Symbol" w:hAnsi="Symbol" w:hint="default"/>
      </w:rPr>
    </w:lvl>
    <w:lvl w:ilvl="4" w:tplc="041F0003" w:tentative="1">
      <w:start w:val="1"/>
      <w:numFmt w:val="bullet"/>
      <w:lvlText w:val="o"/>
      <w:lvlJc w:val="left"/>
      <w:pPr>
        <w:ind w:left="4658" w:hanging="360"/>
      </w:pPr>
      <w:rPr>
        <w:rFonts w:ascii="Courier New" w:hAnsi="Courier New" w:cs="Courier New" w:hint="default"/>
      </w:rPr>
    </w:lvl>
    <w:lvl w:ilvl="5" w:tplc="041F0005" w:tentative="1">
      <w:start w:val="1"/>
      <w:numFmt w:val="bullet"/>
      <w:lvlText w:val=""/>
      <w:lvlJc w:val="left"/>
      <w:pPr>
        <w:ind w:left="5378" w:hanging="360"/>
      </w:pPr>
      <w:rPr>
        <w:rFonts w:ascii="Wingdings" w:hAnsi="Wingdings" w:hint="default"/>
      </w:rPr>
    </w:lvl>
    <w:lvl w:ilvl="6" w:tplc="041F0001" w:tentative="1">
      <w:start w:val="1"/>
      <w:numFmt w:val="bullet"/>
      <w:lvlText w:val=""/>
      <w:lvlJc w:val="left"/>
      <w:pPr>
        <w:ind w:left="6098" w:hanging="360"/>
      </w:pPr>
      <w:rPr>
        <w:rFonts w:ascii="Symbol" w:hAnsi="Symbol" w:hint="default"/>
      </w:rPr>
    </w:lvl>
    <w:lvl w:ilvl="7" w:tplc="041F0003" w:tentative="1">
      <w:start w:val="1"/>
      <w:numFmt w:val="bullet"/>
      <w:lvlText w:val="o"/>
      <w:lvlJc w:val="left"/>
      <w:pPr>
        <w:ind w:left="6818" w:hanging="360"/>
      </w:pPr>
      <w:rPr>
        <w:rFonts w:ascii="Courier New" w:hAnsi="Courier New" w:cs="Courier New" w:hint="default"/>
      </w:rPr>
    </w:lvl>
    <w:lvl w:ilvl="8" w:tplc="041F0005" w:tentative="1">
      <w:start w:val="1"/>
      <w:numFmt w:val="bullet"/>
      <w:lvlText w:val=""/>
      <w:lvlJc w:val="left"/>
      <w:pPr>
        <w:ind w:left="7538" w:hanging="360"/>
      </w:pPr>
      <w:rPr>
        <w:rFonts w:ascii="Wingdings" w:hAnsi="Wingdings" w:hint="default"/>
      </w:rPr>
    </w:lvl>
  </w:abstractNum>
  <w:abstractNum w:abstractNumId="7">
    <w:nsid w:val="3D0B1E7C"/>
    <w:multiLevelType w:val="hybridMultilevel"/>
    <w:tmpl w:val="7076C88A"/>
    <w:lvl w:ilvl="0" w:tplc="E03AD182">
      <w:start w:val="1"/>
      <w:numFmt w:val="lowerLetter"/>
      <w:lvlText w:val="%1."/>
      <w:lvlJc w:val="left"/>
      <w:pPr>
        <w:ind w:left="2138" w:hanging="360"/>
      </w:pPr>
      <w:rPr>
        <w:rFonts w:hint="default"/>
        <w:b/>
        <w:bCs/>
      </w:rPr>
    </w:lvl>
    <w:lvl w:ilvl="1" w:tplc="041F0019" w:tentative="1">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E54EA"/>
    <w:rsid w:val="00217F6C"/>
    <w:rsid w:val="00354863"/>
    <w:rsid w:val="00402397"/>
    <w:rsid w:val="00534153"/>
    <w:rsid w:val="0060278B"/>
    <w:rsid w:val="00615718"/>
    <w:rsid w:val="00680C6B"/>
    <w:rsid w:val="009127D6"/>
    <w:rsid w:val="00974306"/>
    <w:rsid w:val="00AE54EA"/>
    <w:rsid w:val="00AF4567"/>
    <w:rsid w:val="00CE3B5F"/>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4EA"/>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0278B"/>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1221</Words>
  <Characters>6962</Characters>
  <Application>Microsoft Office Word</Application>
  <DocSecurity>0</DocSecurity>
  <Lines>58</Lines>
  <Paragraphs>16</Paragraphs>
  <ScaleCrop>false</ScaleCrop>
  <Company/>
  <LinksUpToDate>false</LinksUpToDate>
  <CharactersWithSpaces>8167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5</cp:revision>
  <dcterms:created xsi:type="dcterms:W3CDTF">2020-07-17T16:24:00Z</dcterms:created>
  <dcterms:modified xsi:type="dcterms:W3CDTF">2020-07-18T03:19:00Z</dcterms:modified>
</cp:coreProperties>
</file>