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8E7" w:rsidRDefault="009A68E7" w:rsidP="00342486">
      <w:pPr>
        <w:rPr>
          <w:lang w:val="tr-TR"/>
        </w:rPr>
      </w:pPr>
    </w:p>
    <w:p w:rsidR="00342486" w:rsidRDefault="00342486" w:rsidP="00342486">
      <w:pPr>
        <w:tabs>
          <w:tab w:val="left" w:pos="1418"/>
        </w:tabs>
        <w:ind w:left="1418" w:right="1418"/>
        <w:jc w:val="both"/>
        <w:rPr>
          <w:rFonts w:asciiTheme="majorBidi" w:hAnsiTheme="majorBidi" w:cstheme="majorBidi"/>
          <w:sz w:val="24"/>
          <w:szCs w:val="24"/>
        </w:rPr>
      </w:pPr>
      <w:r w:rsidRPr="00C11625">
        <w:rPr>
          <w:rFonts w:asciiTheme="majorBidi" w:hAnsiTheme="majorBidi" w:cstheme="majorBidi"/>
          <w:sz w:val="24"/>
          <w:szCs w:val="24"/>
        </w:rPr>
        <w:t>Şiğâr, bir kişinin velâyeti altında bulunan kızı bir başkası ile evlendirmesi ve bunun karşılığında kendisinin de o kimsenin velayeti altında bulunan kızla evlenmesidir. Şiğâr nikâhında, taraflar birbirlerinden ayrıca bir mehir talep etmemekte ve böylece iki kız birbirinin mehri sayılmaktadır. Böylece kızlar birbirlerine bedel olarak karşı tarafla evlendirilmiş olmaktadır. Bu nikâh şekli, halk arasında “bedâil” ya da “bedel” nikâhı olarak da bilinmektedir. Türkiye’de de zaman zaman rastladığımız ve “berdel nikâhı” diye isimlendirilen nikâh bu uygulamanın bir örneğidir.</w:t>
      </w:r>
    </w:p>
    <w:p w:rsidR="00342486" w:rsidRPr="00C11625" w:rsidRDefault="00342486" w:rsidP="00342486">
      <w:pPr>
        <w:tabs>
          <w:tab w:val="left" w:pos="1418"/>
        </w:tabs>
        <w:ind w:left="1418" w:right="1418"/>
        <w:jc w:val="both"/>
        <w:rPr>
          <w:rFonts w:asciiTheme="majorBidi" w:hAnsiTheme="majorBidi" w:cstheme="majorBidi"/>
          <w:sz w:val="24"/>
          <w:szCs w:val="24"/>
        </w:rPr>
      </w:pPr>
      <w:r w:rsidRPr="00C11625">
        <w:rPr>
          <w:rFonts w:asciiTheme="majorBidi" w:hAnsiTheme="majorBidi" w:cstheme="majorBidi"/>
          <w:sz w:val="24"/>
          <w:szCs w:val="24"/>
        </w:rPr>
        <w:tab/>
        <w:t xml:space="preserve">Burada ileri sürülen mehrin muteber olmadığı açıktır. Bazı fakîhler muteber olmayan mehir şartının yok hükmünde sayılacağını söyleyerek bu nikâhı geçerli saymışlardır. Ancak, burada nikâhın bir başka nikâhın gerçekleşmesine bağlanması ve kızların rızasının alınmaması halinde nikâh geçersizdir. Kızların da evlenmeyi kabul etmesi halinde nikâh geçerlidir. Kızların birbirne mehir sayılması, iki açıdan mümkün değildir. Birincisi, bir insanın evlendirilmesi mehir olmaya müsait bir kavram değildir. İkincisi ise mehri alacak taraf evlenecek olan kızdır. Dolayısıyla erkeklerin birbirini mehirden muaf tutma hakkı yoktur. Kızların rızası var ise ayrıca bir mehir belirlenmelidir. Eğer herhangi bir mehir belirlenmeden evlilik gerçekleştirilmiş ise mehir miktarı mehr-i misl olarak belirlenir. </w:t>
      </w:r>
    </w:p>
    <w:p w:rsidR="00342486" w:rsidRPr="00C11625" w:rsidRDefault="00342486" w:rsidP="00342486">
      <w:pPr>
        <w:pStyle w:val="ListeParagraf"/>
        <w:widowControl/>
        <w:numPr>
          <w:ilvl w:val="0"/>
          <w:numId w:val="26"/>
        </w:numPr>
        <w:autoSpaceDE/>
        <w:autoSpaceDN/>
        <w:spacing w:before="0"/>
        <w:ind w:left="1418" w:right="1418" w:hanging="427"/>
        <w:contextualSpacing/>
        <w:jc w:val="both"/>
        <w:rPr>
          <w:rFonts w:asciiTheme="majorBidi" w:hAnsiTheme="majorBidi" w:cstheme="majorBidi"/>
          <w:b/>
          <w:bCs/>
          <w:sz w:val="24"/>
          <w:szCs w:val="24"/>
        </w:rPr>
      </w:pPr>
      <w:r w:rsidRPr="00C11625">
        <w:rPr>
          <w:rFonts w:asciiTheme="majorBidi" w:hAnsiTheme="majorBidi" w:cstheme="majorBidi"/>
          <w:b/>
          <w:bCs/>
          <w:sz w:val="24"/>
          <w:szCs w:val="24"/>
        </w:rPr>
        <w:t>EVLİLİK ESNASINDA GEÇERLİ OLAN HÜKÜMLER</w:t>
      </w:r>
    </w:p>
    <w:p w:rsidR="00342486" w:rsidRPr="00C11625" w:rsidRDefault="00342486" w:rsidP="00342486">
      <w:pPr>
        <w:ind w:left="1418" w:right="1418" w:firstLine="282"/>
        <w:jc w:val="both"/>
        <w:rPr>
          <w:rFonts w:asciiTheme="majorBidi" w:hAnsiTheme="majorBidi" w:cstheme="majorBidi"/>
          <w:sz w:val="24"/>
          <w:szCs w:val="24"/>
        </w:rPr>
      </w:pPr>
      <w:r w:rsidRPr="00C11625">
        <w:rPr>
          <w:rFonts w:asciiTheme="majorBidi" w:hAnsiTheme="majorBidi" w:cstheme="majorBidi"/>
          <w:sz w:val="24"/>
          <w:szCs w:val="24"/>
        </w:rPr>
        <w:t xml:space="preserve">Yukarıda belirtilen şartların tamamlanmasıyla nikâh akdi gerekleştikten sonra taraflar bu akitten kaynaklanan bir takım haklar elde ederler. Bu hakların bazısı hem kocayı hem de eşini ilgilendiren müşterek haklardır. Bunun yanında evlilikten doğan çocukların da bir takım hakları oluşur. </w:t>
      </w:r>
    </w:p>
    <w:p w:rsidR="00342486" w:rsidRPr="00C11625" w:rsidRDefault="00342486" w:rsidP="00342486">
      <w:pPr>
        <w:pStyle w:val="ListeParagraf"/>
        <w:widowControl/>
        <w:numPr>
          <w:ilvl w:val="0"/>
          <w:numId w:val="27"/>
        </w:numPr>
        <w:autoSpaceDE/>
        <w:autoSpaceDN/>
        <w:spacing w:before="0"/>
        <w:ind w:left="1418" w:right="1418"/>
        <w:contextualSpacing/>
        <w:jc w:val="both"/>
        <w:rPr>
          <w:rFonts w:asciiTheme="majorBidi" w:hAnsiTheme="majorBidi" w:cstheme="majorBidi"/>
          <w:b/>
          <w:bCs/>
          <w:sz w:val="24"/>
          <w:szCs w:val="24"/>
        </w:rPr>
      </w:pPr>
      <w:r w:rsidRPr="00C11625">
        <w:rPr>
          <w:rFonts w:asciiTheme="majorBidi" w:hAnsiTheme="majorBidi" w:cstheme="majorBidi"/>
          <w:b/>
          <w:bCs/>
          <w:sz w:val="24"/>
          <w:szCs w:val="24"/>
        </w:rPr>
        <w:t>Karı-Kocanın Nikâh Akdi ile Kazandığı Müşterek Haklar</w:t>
      </w:r>
    </w:p>
    <w:p w:rsidR="00342486" w:rsidRPr="00C11625" w:rsidRDefault="00342486" w:rsidP="00342486">
      <w:pPr>
        <w:ind w:left="1418" w:right="1418" w:firstLine="282"/>
        <w:jc w:val="both"/>
        <w:rPr>
          <w:rFonts w:asciiTheme="majorBidi" w:hAnsiTheme="majorBidi" w:cstheme="majorBidi"/>
          <w:sz w:val="24"/>
          <w:szCs w:val="24"/>
        </w:rPr>
      </w:pPr>
      <w:r w:rsidRPr="00C11625">
        <w:rPr>
          <w:rFonts w:asciiTheme="majorBidi" w:hAnsiTheme="majorBidi" w:cstheme="majorBidi"/>
          <w:sz w:val="24"/>
          <w:szCs w:val="24"/>
        </w:rPr>
        <w:t>Bu tür haklar aynı zamanda daha önce bahsedilen evlilik akdinin gereği (muktezası) olarak kabul edilen haklardır. Bu haklar, konusunda tarafların bir fedakarlık ya da feragatte bulunması söz konusu olamaz. Böyle bir feragat taraflardan biri tarafından şart koşulamaz. Böyle bir şartın ileri sürülmesi halinde ortaya çıkan durumla ilgili hükümler daha önce açıklanmıştı. Evlilikle birlikte kazanılan müşterek haklar şunlardır:</w:t>
      </w:r>
    </w:p>
    <w:p w:rsidR="00342486" w:rsidRPr="00C11625" w:rsidRDefault="00342486" w:rsidP="00342486">
      <w:pPr>
        <w:pStyle w:val="ListeParagraf"/>
        <w:widowControl/>
        <w:numPr>
          <w:ilvl w:val="0"/>
          <w:numId w:val="28"/>
        </w:numPr>
        <w:autoSpaceDE/>
        <w:autoSpaceDN/>
        <w:spacing w:before="0"/>
        <w:ind w:left="1418" w:right="1418"/>
        <w:contextualSpacing/>
        <w:jc w:val="both"/>
        <w:rPr>
          <w:rFonts w:asciiTheme="majorBidi" w:hAnsiTheme="majorBidi" w:cstheme="majorBidi"/>
          <w:b/>
          <w:bCs/>
          <w:sz w:val="24"/>
          <w:szCs w:val="24"/>
        </w:rPr>
      </w:pPr>
      <w:r w:rsidRPr="00C11625">
        <w:rPr>
          <w:rFonts w:asciiTheme="majorBidi" w:hAnsiTheme="majorBidi" w:cstheme="majorBidi"/>
          <w:b/>
          <w:bCs/>
          <w:sz w:val="24"/>
          <w:szCs w:val="24"/>
        </w:rPr>
        <w:t xml:space="preserve">Cinsel birlikteliğin (istimtâ’) helal hale gelmesi: </w:t>
      </w:r>
      <w:r w:rsidRPr="00C11625">
        <w:rPr>
          <w:rFonts w:asciiTheme="majorBidi" w:hAnsiTheme="majorBidi" w:cstheme="majorBidi"/>
          <w:sz w:val="24"/>
          <w:szCs w:val="24"/>
        </w:rPr>
        <w:t>Müminûn suresinin 5 ve 6. ayetlerinde müminlerin eşleri ile cinsel birliktelikte bulunabilecekleri net bir şekilde ifade edilmektedir.</w:t>
      </w:r>
    </w:p>
    <w:p w:rsidR="00342486" w:rsidRPr="00C11625" w:rsidRDefault="00342486" w:rsidP="00342486">
      <w:pPr>
        <w:pStyle w:val="ListeParagraf"/>
        <w:widowControl/>
        <w:numPr>
          <w:ilvl w:val="0"/>
          <w:numId w:val="28"/>
        </w:numPr>
        <w:autoSpaceDE/>
        <w:autoSpaceDN/>
        <w:spacing w:before="0"/>
        <w:ind w:left="1418" w:right="1418"/>
        <w:contextualSpacing/>
        <w:jc w:val="both"/>
        <w:rPr>
          <w:rFonts w:asciiTheme="majorBidi" w:hAnsiTheme="majorBidi" w:cstheme="majorBidi"/>
          <w:sz w:val="24"/>
          <w:szCs w:val="24"/>
        </w:rPr>
      </w:pPr>
      <w:r w:rsidRPr="00C11625">
        <w:rPr>
          <w:rFonts w:asciiTheme="majorBidi" w:hAnsiTheme="majorBidi" w:cstheme="majorBidi"/>
          <w:b/>
          <w:bCs/>
          <w:sz w:val="24"/>
          <w:szCs w:val="24"/>
        </w:rPr>
        <w:t xml:space="preserve">Sıhriyyetten dolayı evlilik engellerinin oluşması: </w:t>
      </w:r>
      <w:r w:rsidRPr="00C11625">
        <w:rPr>
          <w:rFonts w:asciiTheme="majorBidi" w:hAnsiTheme="majorBidi" w:cstheme="majorBidi"/>
          <w:sz w:val="24"/>
          <w:szCs w:val="24"/>
        </w:rPr>
        <w:t>Nikâh akdinin tamamlanması ile birlikte kocanın, eşinin usûlü ile evlenmesi haram hale gelmektedir. Akit tamamlanıp cinsel birlikteliğin de gerçekleşmesi halinde ise kocanın, eşinin furûu ile evlenmesi haram olmaktadır. Diğer taraftan akdin tamamlanması ile birlikte kadının, kocasının hem usûlü hem de furûu ile evlenmesi haram olmaktadır.</w:t>
      </w:r>
    </w:p>
    <w:p w:rsidR="00342486" w:rsidRPr="00C11625" w:rsidRDefault="00342486" w:rsidP="00342486">
      <w:pPr>
        <w:pStyle w:val="ListeParagraf"/>
        <w:widowControl/>
        <w:numPr>
          <w:ilvl w:val="0"/>
          <w:numId w:val="28"/>
        </w:numPr>
        <w:autoSpaceDE/>
        <w:autoSpaceDN/>
        <w:spacing w:before="0"/>
        <w:ind w:left="1418" w:right="1418"/>
        <w:contextualSpacing/>
        <w:jc w:val="both"/>
        <w:rPr>
          <w:rFonts w:asciiTheme="majorBidi" w:hAnsiTheme="majorBidi" w:cstheme="majorBidi"/>
          <w:sz w:val="24"/>
          <w:szCs w:val="24"/>
        </w:rPr>
      </w:pPr>
      <w:r w:rsidRPr="00C11625">
        <w:rPr>
          <w:rFonts w:asciiTheme="majorBidi" w:hAnsiTheme="majorBidi" w:cstheme="majorBidi"/>
          <w:b/>
          <w:bCs/>
          <w:sz w:val="24"/>
          <w:szCs w:val="24"/>
        </w:rPr>
        <w:lastRenderedPageBreak/>
        <w:t>Eşlerin birbirine mirasçı olması:</w:t>
      </w:r>
      <w:r w:rsidRPr="00C11625">
        <w:rPr>
          <w:rFonts w:asciiTheme="majorBidi" w:hAnsiTheme="majorBidi" w:cstheme="majorBidi"/>
          <w:sz w:val="24"/>
          <w:szCs w:val="24"/>
        </w:rPr>
        <w:t xml:space="preserve"> Akdin tamamlanması ile birlikte eşler birbirine mirasçı hale gelir. Bunun için cinsel birliktelik yaşamaları şart değildir. Akdin hemen sonrasında taraflardan biri vefat etse diğeri ona mirasçı olur. Örneğin, kadın vefat ederse ve furûundan mirasçısı yok ise koca, kadının mirasının yarısını alır. Kadının furûndan bir mirasçı bulunması halinde erkek mirasın dörtte birini alır. Kadının furûunun geride kalan kocadan ya da başka bir kocadan olmasının, bu paylaşım üzerinde herhangi bir etkisi olmaz. </w:t>
      </w:r>
    </w:p>
    <w:p w:rsidR="00342486" w:rsidRPr="00C11625" w:rsidRDefault="00342486" w:rsidP="00342486">
      <w:pPr>
        <w:pStyle w:val="ListeParagraf"/>
        <w:ind w:left="1418" w:right="1418" w:firstLine="348"/>
        <w:jc w:val="both"/>
        <w:rPr>
          <w:rFonts w:asciiTheme="majorBidi" w:hAnsiTheme="majorBidi" w:cstheme="majorBidi"/>
          <w:sz w:val="24"/>
          <w:szCs w:val="24"/>
        </w:rPr>
      </w:pPr>
      <w:r w:rsidRPr="00C11625">
        <w:rPr>
          <w:rFonts w:asciiTheme="majorBidi" w:hAnsiTheme="majorBidi" w:cstheme="majorBidi"/>
          <w:sz w:val="24"/>
          <w:szCs w:val="24"/>
        </w:rPr>
        <w:t>Kocanın vefat etmesi halinde ise eğer furûundan mirasçısı yok ise kadın mirasın dörtte birini alır. Kocanın furûundan mirasçı varsa, kadının alacağı miktar sekizde birdir. Eğer vefat eden kocanın birden fazla eşi var ise kalan dörtte bir ya da sekizde birlik hisseyi paylaşırlar.</w:t>
      </w:r>
    </w:p>
    <w:p w:rsidR="00342486" w:rsidRPr="00C11625" w:rsidRDefault="00342486" w:rsidP="00342486">
      <w:pPr>
        <w:pStyle w:val="ListeParagraf"/>
        <w:widowControl/>
        <w:numPr>
          <w:ilvl w:val="0"/>
          <w:numId w:val="28"/>
        </w:numPr>
        <w:autoSpaceDE/>
        <w:autoSpaceDN/>
        <w:spacing w:before="0"/>
        <w:ind w:left="1418" w:right="1418"/>
        <w:contextualSpacing/>
        <w:jc w:val="both"/>
        <w:rPr>
          <w:rFonts w:asciiTheme="majorBidi" w:hAnsiTheme="majorBidi" w:cstheme="majorBidi"/>
          <w:b/>
          <w:bCs/>
          <w:sz w:val="24"/>
          <w:szCs w:val="24"/>
        </w:rPr>
      </w:pPr>
      <w:r w:rsidRPr="00C11625">
        <w:rPr>
          <w:rFonts w:asciiTheme="majorBidi" w:hAnsiTheme="majorBidi" w:cstheme="majorBidi"/>
          <w:b/>
          <w:bCs/>
          <w:sz w:val="24"/>
          <w:szCs w:val="24"/>
        </w:rPr>
        <w:t xml:space="preserve">Tarafların birbiriyle güzel geçinmesi: </w:t>
      </w:r>
      <w:r w:rsidRPr="00C11625">
        <w:rPr>
          <w:rFonts w:asciiTheme="majorBidi" w:hAnsiTheme="majorBidi" w:cstheme="majorBidi"/>
          <w:sz w:val="24"/>
          <w:szCs w:val="24"/>
        </w:rPr>
        <w:t>Bu kavram, Kur’ân-ı Kerîm’de “marûf ile muaşerette bulunmak” şeklinde ifade edilmektedir.</w:t>
      </w:r>
      <w:r w:rsidRPr="00C11625">
        <w:rPr>
          <w:rFonts w:asciiTheme="majorBidi" w:hAnsiTheme="majorBidi" w:cstheme="majorBidi"/>
          <w:b/>
          <w:bCs/>
          <w:sz w:val="24"/>
          <w:szCs w:val="24"/>
        </w:rPr>
        <w:t xml:space="preserve"> </w:t>
      </w:r>
      <w:r w:rsidRPr="00C11625">
        <w:rPr>
          <w:rFonts w:asciiTheme="majorBidi" w:hAnsiTheme="majorBidi" w:cstheme="majorBidi"/>
          <w:sz w:val="24"/>
          <w:szCs w:val="24"/>
        </w:rPr>
        <w:t>(4. Nisâ, 19)</w:t>
      </w:r>
      <w:r w:rsidRPr="00C11625">
        <w:rPr>
          <w:rFonts w:asciiTheme="majorBidi" w:hAnsiTheme="majorBidi" w:cstheme="majorBidi"/>
          <w:b/>
          <w:bCs/>
          <w:sz w:val="24"/>
          <w:szCs w:val="24"/>
        </w:rPr>
        <w:t xml:space="preserve"> </w:t>
      </w:r>
      <w:r w:rsidRPr="00C11625">
        <w:rPr>
          <w:rFonts w:asciiTheme="majorBidi" w:hAnsiTheme="majorBidi" w:cstheme="majorBidi"/>
          <w:sz w:val="24"/>
          <w:szCs w:val="24"/>
        </w:rPr>
        <w:t>Zaten evliliğin asıl amacı da budur. Söz konusu ayette, hitap “hanımlarınızla güzel bir şekilde geçininiz” şeklinde erkeklere yönelik ise de güzel geçinmenin tek taraflı olamayacağı malumdur.</w:t>
      </w:r>
    </w:p>
    <w:p w:rsidR="00342486" w:rsidRPr="00C11625" w:rsidRDefault="00342486" w:rsidP="00342486">
      <w:pPr>
        <w:pStyle w:val="ListeParagraf"/>
        <w:ind w:left="1418" w:right="1418" w:firstLine="348"/>
        <w:jc w:val="both"/>
        <w:rPr>
          <w:rFonts w:asciiTheme="majorBidi" w:hAnsiTheme="majorBidi" w:cstheme="majorBidi"/>
          <w:sz w:val="24"/>
          <w:szCs w:val="24"/>
        </w:rPr>
      </w:pPr>
      <w:r w:rsidRPr="00C11625">
        <w:rPr>
          <w:rFonts w:asciiTheme="majorBidi" w:hAnsiTheme="majorBidi" w:cstheme="majorBidi"/>
          <w:sz w:val="24"/>
          <w:szCs w:val="24"/>
        </w:rPr>
        <w:t>Güzel geçinme kavramının içerisine, güzel davranışta bulunmak girdiği gibi, tarafların birbirini gözetmeleri, korumaları, dış görünümlerine dikkat etmeleri, alınacak kararlarda birbirlerine danışmaları gibi hususlar da girer.</w:t>
      </w:r>
    </w:p>
    <w:p w:rsidR="00342486" w:rsidRPr="00C11625" w:rsidRDefault="00342486" w:rsidP="00342486">
      <w:pPr>
        <w:pStyle w:val="ListeParagraf"/>
        <w:widowControl/>
        <w:numPr>
          <w:ilvl w:val="0"/>
          <w:numId w:val="28"/>
        </w:numPr>
        <w:autoSpaceDE/>
        <w:autoSpaceDN/>
        <w:spacing w:before="0"/>
        <w:ind w:left="1418" w:right="1418"/>
        <w:contextualSpacing/>
        <w:jc w:val="both"/>
        <w:rPr>
          <w:rFonts w:asciiTheme="majorBidi" w:hAnsiTheme="majorBidi" w:cstheme="majorBidi"/>
          <w:b/>
          <w:bCs/>
          <w:sz w:val="24"/>
          <w:szCs w:val="24"/>
        </w:rPr>
      </w:pPr>
      <w:r w:rsidRPr="00C11625">
        <w:rPr>
          <w:rFonts w:asciiTheme="majorBidi" w:hAnsiTheme="majorBidi" w:cstheme="majorBidi"/>
          <w:b/>
          <w:bCs/>
          <w:sz w:val="24"/>
          <w:szCs w:val="24"/>
        </w:rPr>
        <w:t xml:space="preserve">Hayır ve Allah’a itaat konusunda yardımlaşmak: </w:t>
      </w:r>
      <w:r w:rsidRPr="00C11625">
        <w:rPr>
          <w:rFonts w:asciiTheme="majorBidi" w:hAnsiTheme="majorBidi" w:cstheme="majorBidi"/>
          <w:sz w:val="24"/>
          <w:szCs w:val="24"/>
        </w:rPr>
        <w:t>İslam’da aileye büyük önem verilmesinin sebebi, işte bu amaçtır. Ayetlere ve hadislere bakıldığında, evliliğin hayatın zorluklarını paylaşmak yanında Allah’a güzel kullukta bulunmak için bir vesile kabul edildiği görülmektedir. Nitekim Hz. Peygamber bir hadiste şöyle buyurur: “Allah’ın rahmeti, gece kalkıp namaz kılan ve hanımını uyandırarak onun da namaz kılmasını sağlayan kişiye olsun.” (Ebû Dâvûd, Tatavvu’, 18.)</w:t>
      </w:r>
    </w:p>
    <w:p w:rsidR="00342486" w:rsidRPr="00C11625" w:rsidRDefault="00342486" w:rsidP="00342486">
      <w:pPr>
        <w:pStyle w:val="ListeParagraf"/>
        <w:widowControl/>
        <w:numPr>
          <w:ilvl w:val="0"/>
          <w:numId w:val="28"/>
        </w:numPr>
        <w:autoSpaceDE/>
        <w:autoSpaceDN/>
        <w:spacing w:before="0"/>
        <w:ind w:left="1418" w:right="1418"/>
        <w:contextualSpacing/>
        <w:jc w:val="both"/>
        <w:rPr>
          <w:rFonts w:asciiTheme="majorBidi" w:hAnsiTheme="majorBidi" w:cstheme="majorBidi"/>
          <w:b/>
          <w:bCs/>
          <w:sz w:val="24"/>
          <w:szCs w:val="24"/>
        </w:rPr>
      </w:pPr>
      <w:r w:rsidRPr="00C11625">
        <w:rPr>
          <w:rFonts w:asciiTheme="majorBidi" w:hAnsiTheme="majorBidi" w:cstheme="majorBidi"/>
          <w:b/>
          <w:bCs/>
          <w:sz w:val="24"/>
          <w:szCs w:val="24"/>
        </w:rPr>
        <w:t xml:space="preserve">Kadın için mehir: </w:t>
      </w:r>
      <w:r w:rsidRPr="00C11625">
        <w:rPr>
          <w:rFonts w:asciiTheme="majorBidi" w:hAnsiTheme="majorBidi" w:cstheme="majorBidi"/>
          <w:sz w:val="24"/>
          <w:szCs w:val="24"/>
        </w:rPr>
        <w:t>Daha önce de belirtildiği üzere nikâh akdinin erkeğe getirdiği yükümlülüklerden biri de mehirdir.</w:t>
      </w:r>
      <w:r w:rsidRPr="00C11625">
        <w:rPr>
          <w:rFonts w:asciiTheme="majorBidi" w:hAnsiTheme="majorBidi" w:cstheme="majorBidi"/>
          <w:b/>
          <w:bCs/>
          <w:sz w:val="24"/>
          <w:szCs w:val="24"/>
        </w:rPr>
        <w:t xml:space="preserve"> </w:t>
      </w:r>
    </w:p>
    <w:p w:rsidR="00342486" w:rsidRPr="00C11625" w:rsidRDefault="00342486" w:rsidP="00342486">
      <w:pPr>
        <w:pStyle w:val="ListeParagraf"/>
        <w:widowControl/>
        <w:numPr>
          <w:ilvl w:val="0"/>
          <w:numId w:val="28"/>
        </w:numPr>
        <w:autoSpaceDE/>
        <w:autoSpaceDN/>
        <w:spacing w:before="0"/>
        <w:ind w:left="1418" w:right="1418"/>
        <w:contextualSpacing/>
        <w:jc w:val="both"/>
        <w:rPr>
          <w:rFonts w:asciiTheme="majorBidi" w:hAnsiTheme="majorBidi" w:cstheme="majorBidi"/>
          <w:b/>
          <w:bCs/>
          <w:sz w:val="24"/>
          <w:szCs w:val="24"/>
        </w:rPr>
      </w:pPr>
      <w:r w:rsidRPr="00C11625">
        <w:rPr>
          <w:rFonts w:asciiTheme="majorBidi" w:hAnsiTheme="majorBidi" w:cstheme="majorBidi"/>
          <w:b/>
          <w:bCs/>
          <w:sz w:val="24"/>
          <w:szCs w:val="24"/>
        </w:rPr>
        <w:t xml:space="preserve">Kadın için nafaka: </w:t>
      </w:r>
      <w:r w:rsidRPr="00C11625">
        <w:rPr>
          <w:rFonts w:asciiTheme="majorBidi" w:hAnsiTheme="majorBidi" w:cstheme="majorBidi"/>
          <w:sz w:val="24"/>
          <w:szCs w:val="24"/>
        </w:rPr>
        <w:t>Akdin tamamlanması ile birlikte tarafların birlikte yaşamaları gerekir. Nikâh akdi kıyıldıktan sonra tarafların kendilerini evlilik birlikteliğinden geri tutmaları caiz olmaz. Doğal olarak bu birliktelik esnasından kadının hayatını idame ettirebilmesi için bir takım maddî ihtiyaçları doğacaktır. Bu ihtiyaçlar için harcaması gereken maddi gider nafaka kavramı ile ifade edilmektedir. Nafaka mesken, yiyecek, giyecek gibi temel ihtiyaçları kapsar. Nafaka ile ilgili bir anlaşmazlık olması halinde hakim, kocanın maddi durumunu dikkate alarak bir nafaka takdir eder.</w:t>
      </w:r>
    </w:p>
    <w:p w:rsidR="00342486" w:rsidRPr="00342486" w:rsidRDefault="00342486" w:rsidP="00342486">
      <w:pPr>
        <w:rPr>
          <w:lang w:val="tr-TR"/>
        </w:rPr>
      </w:pPr>
    </w:p>
    <w:sectPr w:rsidR="00342486" w:rsidRPr="00342486" w:rsidSect="00534153">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141" w:rsidRDefault="00AA0141" w:rsidP="00050667">
      <w:r>
        <w:separator/>
      </w:r>
    </w:p>
  </w:endnote>
  <w:endnote w:type="continuationSeparator" w:id="0">
    <w:p w:rsidR="00AA0141" w:rsidRDefault="00AA0141" w:rsidP="000506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141" w:rsidRDefault="00AA0141" w:rsidP="00050667">
      <w:r>
        <w:separator/>
      </w:r>
    </w:p>
  </w:footnote>
  <w:footnote w:type="continuationSeparator" w:id="0">
    <w:p w:rsidR="00AA0141" w:rsidRDefault="00AA0141" w:rsidP="000506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DB9" w:rsidRDefault="00AA0141">
    <w:pPr>
      <w:pStyle w:val="GvdeMetni"/>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6EF438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09CF92E"/>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0DED72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FDCC2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1BEFD79E"/>
    <w:lvl w:ilvl="0" w:tplc="FFFFFFFF">
      <w:start w:val="2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41A7C4C8"/>
    <w:lvl w:ilvl="0" w:tplc="FFFFFFFF">
      <w:start w:val="2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25E45D32"/>
    <w:lvl w:ilvl="0" w:tplc="FFFFFFFF">
      <w:start w:val="2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519B500C"/>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431BD7B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3F2DBA30"/>
    <w:lvl w:ilvl="0" w:tplc="FFFFFFFF">
      <w:start w:val="3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7C83E45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257130A2"/>
    <w:lvl w:ilvl="0" w:tplc="FFFFFFFF">
      <w:start w:val="4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62BBD95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436C6124"/>
    <w:lvl w:ilvl="0" w:tplc="FFFFFFFF">
      <w:start w:val="4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628C895C"/>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333AB104"/>
    <w:lvl w:ilvl="0" w:tplc="FFFFFFFF">
      <w:start w:val="5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4"/>
    <w:multiLevelType w:val="hybridMultilevel"/>
    <w:tmpl w:val="721DA31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5"/>
    <w:multiLevelType w:val="hybridMultilevel"/>
    <w:tmpl w:val="2443A858"/>
    <w:lvl w:ilvl="0" w:tplc="FFFFFFFF">
      <w:start w:val="5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6"/>
    <w:multiLevelType w:val="hybridMultilevel"/>
    <w:tmpl w:val="2D1D5A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7"/>
    <w:multiLevelType w:val="hybridMultilevel"/>
    <w:tmpl w:val="6763845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8"/>
    <w:multiLevelType w:val="hybridMultilevel"/>
    <w:tmpl w:val="75A2A8D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689773B"/>
    <w:multiLevelType w:val="hybridMultilevel"/>
    <w:tmpl w:val="1D6AE622"/>
    <w:lvl w:ilvl="0" w:tplc="3E32703C">
      <w:start w:val="1"/>
      <w:numFmt w:val="upp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5">
    <w:nsid w:val="1C482920"/>
    <w:multiLevelType w:val="hybridMultilevel"/>
    <w:tmpl w:val="CB88D8C2"/>
    <w:lvl w:ilvl="0" w:tplc="039A8282">
      <w:start w:val="1"/>
      <w:numFmt w:val="decimal"/>
      <w:lvlText w:val="%1-"/>
      <w:lvlJc w:val="left"/>
      <w:pPr>
        <w:ind w:left="1214" w:hanging="708"/>
        <w:jc w:val="right"/>
      </w:pPr>
      <w:rPr>
        <w:rFonts w:ascii="Arial" w:eastAsia="Arial" w:hAnsi="Arial" w:cs="Arial" w:hint="default"/>
        <w:spacing w:val="-1"/>
        <w:w w:val="89"/>
        <w:sz w:val="23"/>
        <w:szCs w:val="23"/>
        <w:lang w:val="en-US" w:eastAsia="en-US" w:bidi="ar-SA"/>
      </w:rPr>
    </w:lvl>
    <w:lvl w:ilvl="1" w:tplc="2870B0FE">
      <w:numFmt w:val="bullet"/>
      <w:lvlText w:val="•"/>
      <w:lvlJc w:val="left"/>
      <w:pPr>
        <w:ind w:left="2032" w:hanging="708"/>
      </w:pPr>
      <w:rPr>
        <w:rFonts w:hint="default"/>
        <w:lang w:val="en-US" w:eastAsia="en-US" w:bidi="ar-SA"/>
      </w:rPr>
    </w:lvl>
    <w:lvl w:ilvl="2" w:tplc="A13AD7CE">
      <w:numFmt w:val="bullet"/>
      <w:lvlText w:val="•"/>
      <w:lvlJc w:val="left"/>
      <w:pPr>
        <w:ind w:left="2845" w:hanging="708"/>
      </w:pPr>
      <w:rPr>
        <w:rFonts w:hint="default"/>
        <w:lang w:val="en-US" w:eastAsia="en-US" w:bidi="ar-SA"/>
      </w:rPr>
    </w:lvl>
    <w:lvl w:ilvl="3" w:tplc="BBD67AAA">
      <w:numFmt w:val="bullet"/>
      <w:lvlText w:val="•"/>
      <w:lvlJc w:val="left"/>
      <w:pPr>
        <w:ind w:left="3658" w:hanging="708"/>
      </w:pPr>
      <w:rPr>
        <w:rFonts w:hint="default"/>
        <w:lang w:val="en-US" w:eastAsia="en-US" w:bidi="ar-SA"/>
      </w:rPr>
    </w:lvl>
    <w:lvl w:ilvl="4" w:tplc="36BE77EC">
      <w:numFmt w:val="bullet"/>
      <w:lvlText w:val="•"/>
      <w:lvlJc w:val="left"/>
      <w:pPr>
        <w:ind w:left="4471" w:hanging="708"/>
      </w:pPr>
      <w:rPr>
        <w:rFonts w:hint="default"/>
        <w:lang w:val="en-US" w:eastAsia="en-US" w:bidi="ar-SA"/>
      </w:rPr>
    </w:lvl>
    <w:lvl w:ilvl="5" w:tplc="F62C76EC">
      <w:numFmt w:val="bullet"/>
      <w:lvlText w:val="•"/>
      <w:lvlJc w:val="left"/>
      <w:pPr>
        <w:ind w:left="5284" w:hanging="708"/>
      </w:pPr>
      <w:rPr>
        <w:rFonts w:hint="default"/>
        <w:lang w:val="en-US" w:eastAsia="en-US" w:bidi="ar-SA"/>
      </w:rPr>
    </w:lvl>
    <w:lvl w:ilvl="6" w:tplc="DE9A7E86">
      <w:numFmt w:val="bullet"/>
      <w:lvlText w:val="•"/>
      <w:lvlJc w:val="left"/>
      <w:pPr>
        <w:ind w:left="6097" w:hanging="708"/>
      </w:pPr>
      <w:rPr>
        <w:rFonts w:hint="default"/>
        <w:lang w:val="en-US" w:eastAsia="en-US" w:bidi="ar-SA"/>
      </w:rPr>
    </w:lvl>
    <w:lvl w:ilvl="7" w:tplc="3EE2D1CC">
      <w:numFmt w:val="bullet"/>
      <w:lvlText w:val="•"/>
      <w:lvlJc w:val="left"/>
      <w:pPr>
        <w:ind w:left="6910" w:hanging="708"/>
      </w:pPr>
      <w:rPr>
        <w:rFonts w:hint="default"/>
        <w:lang w:val="en-US" w:eastAsia="en-US" w:bidi="ar-SA"/>
      </w:rPr>
    </w:lvl>
    <w:lvl w:ilvl="8" w:tplc="162AC26A">
      <w:numFmt w:val="bullet"/>
      <w:lvlText w:val="•"/>
      <w:lvlJc w:val="left"/>
      <w:pPr>
        <w:ind w:left="7723" w:hanging="708"/>
      </w:pPr>
      <w:rPr>
        <w:rFonts w:hint="default"/>
        <w:lang w:val="en-US" w:eastAsia="en-US" w:bidi="ar-SA"/>
      </w:rPr>
    </w:lvl>
  </w:abstractNum>
  <w:abstractNum w:abstractNumId="26">
    <w:nsid w:val="22787C70"/>
    <w:multiLevelType w:val="hybridMultilevel"/>
    <w:tmpl w:val="60587A6C"/>
    <w:lvl w:ilvl="0" w:tplc="15D87FC4">
      <w:start w:val="1"/>
      <w:numFmt w:val="decimal"/>
      <w:lvlText w:val="%1."/>
      <w:lvlJc w:val="left"/>
      <w:pPr>
        <w:ind w:left="1776" w:hanging="360"/>
      </w:pPr>
      <w:rPr>
        <w:rFonts w:hint="default"/>
        <w:b/>
        <w:bCs/>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7">
    <w:nsid w:val="6CDD336A"/>
    <w:multiLevelType w:val="hybridMultilevel"/>
    <w:tmpl w:val="8FB6CC0C"/>
    <w:lvl w:ilvl="0" w:tplc="183617D4">
      <w:start w:val="1"/>
      <w:numFmt w:val="upperRoman"/>
      <w:lvlText w:val="%1."/>
      <w:lvlJc w:val="left"/>
      <w:pPr>
        <w:ind w:left="2136" w:hanging="72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num w:numId="1">
    <w:abstractNumId w:val="25"/>
  </w:num>
  <w:num w:numId="2">
    <w:abstractNumId w:val="1"/>
  </w:num>
  <w:num w:numId="3">
    <w:abstractNumId w:val="0"/>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7"/>
  </w:num>
  <w:num w:numId="27">
    <w:abstractNumId w:val="24"/>
  </w:num>
  <w:num w:numId="2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22057F"/>
    <w:rsid w:val="00050667"/>
    <w:rsid w:val="0022057F"/>
    <w:rsid w:val="00342486"/>
    <w:rsid w:val="00354863"/>
    <w:rsid w:val="00387FF2"/>
    <w:rsid w:val="00402397"/>
    <w:rsid w:val="004D5080"/>
    <w:rsid w:val="00534153"/>
    <w:rsid w:val="00680C6B"/>
    <w:rsid w:val="009A68E7"/>
    <w:rsid w:val="00AA0141"/>
    <w:rsid w:val="00B57618"/>
    <w:rsid w:val="00B7730F"/>
    <w:rsid w:val="00BA5E15"/>
    <w:rsid w:val="00CC7875"/>
    <w:rsid w:val="00CF1E2A"/>
    <w:rsid w:val="00E2063E"/>
    <w:rsid w:val="00E72CC2"/>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2057F"/>
    <w:pPr>
      <w:widowControl w:val="0"/>
      <w:autoSpaceDE w:val="0"/>
      <w:autoSpaceDN w:val="0"/>
      <w:spacing w:after="0" w:line="240" w:lineRule="auto"/>
    </w:pPr>
    <w:rPr>
      <w:rFonts w:ascii="Arial" w:eastAsia="Arial" w:hAnsi="Arial" w:cs="Arial"/>
      <w:sz w:val="22"/>
      <w:szCs w:val="22"/>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22057F"/>
    <w:pPr>
      <w:widowControl w:val="0"/>
      <w:autoSpaceDE w:val="0"/>
      <w:autoSpaceDN w:val="0"/>
      <w:spacing w:after="0"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2057F"/>
    <w:rPr>
      <w:sz w:val="23"/>
      <w:szCs w:val="23"/>
    </w:rPr>
  </w:style>
  <w:style w:type="character" w:customStyle="1" w:styleId="GvdeMetniChar">
    <w:name w:val="Gövde Metni Char"/>
    <w:basedOn w:val="VarsaylanParagrafYazTipi"/>
    <w:link w:val="GvdeMetni"/>
    <w:uiPriority w:val="1"/>
    <w:rsid w:val="0022057F"/>
    <w:rPr>
      <w:rFonts w:ascii="Arial" w:eastAsia="Arial" w:hAnsi="Arial" w:cs="Arial"/>
      <w:sz w:val="23"/>
      <w:szCs w:val="23"/>
      <w:lang w:val="en-US"/>
    </w:rPr>
  </w:style>
  <w:style w:type="paragraph" w:customStyle="1" w:styleId="Heading1">
    <w:name w:val="Heading 1"/>
    <w:basedOn w:val="Normal"/>
    <w:uiPriority w:val="1"/>
    <w:qFormat/>
    <w:rsid w:val="0022057F"/>
    <w:pPr>
      <w:spacing w:line="1067" w:lineRule="exact"/>
      <w:ind w:left="333"/>
      <w:outlineLvl w:val="1"/>
    </w:pPr>
    <w:rPr>
      <w:sz w:val="110"/>
      <w:szCs w:val="110"/>
    </w:rPr>
  </w:style>
  <w:style w:type="paragraph" w:customStyle="1" w:styleId="Heading2">
    <w:name w:val="Heading 2"/>
    <w:basedOn w:val="Normal"/>
    <w:uiPriority w:val="1"/>
    <w:qFormat/>
    <w:rsid w:val="0022057F"/>
    <w:pPr>
      <w:spacing w:line="444" w:lineRule="exact"/>
      <w:ind w:left="1301" w:right="2251"/>
      <w:jc w:val="center"/>
      <w:outlineLvl w:val="2"/>
    </w:pPr>
    <w:rPr>
      <w:sz w:val="40"/>
      <w:szCs w:val="40"/>
    </w:rPr>
  </w:style>
  <w:style w:type="paragraph" w:customStyle="1" w:styleId="Heading3">
    <w:name w:val="Heading 3"/>
    <w:basedOn w:val="Normal"/>
    <w:uiPriority w:val="1"/>
    <w:qFormat/>
    <w:rsid w:val="0022057F"/>
    <w:pPr>
      <w:spacing w:before="10"/>
      <w:outlineLvl w:val="3"/>
    </w:pPr>
    <w:rPr>
      <w:sz w:val="25"/>
      <w:szCs w:val="25"/>
    </w:rPr>
  </w:style>
  <w:style w:type="paragraph" w:customStyle="1" w:styleId="Heading4">
    <w:name w:val="Heading 4"/>
    <w:basedOn w:val="Normal"/>
    <w:uiPriority w:val="1"/>
    <w:qFormat/>
    <w:rsid w:val="0022057F"/>
    <w:pPr>
      <w:ind w:left="105"/>
      <w:outlineLvl w:val="4"/>
    </w:pPr>
    <w:rPr>
      <w:sz w:val="24"/>
      <w:szCs w:val="24"/>
    </w:rPr>
  </w:style>
  <w:style w:type="paragraph" w:styleId="KonuBal">
    <w:name w:val="Title"/>
    <w:basedOn w:val="Normal"/>
    <w:link w:val="KonuBalChar"/>
    <w:uiPriority w:val="1"/>
    <w:qFormat/>
    <w:rsid w:val="0022057F"/>
    <w:pPr>
      <w:spacing w:line="1287" w:lineRule="exact"/>
      <w:ind w:left="1471"/>
    </w:pPr>
    <w:rPr>
      <w:sz w:val="123"/>
      <w:szCs w:val="123"/>
    </w:rPr>
  </w:style>
  <w:style w:type="character" w:customStyle="1" w:styleId="KonuBalChar">
    <w:name w:val="Konu Başlığı Char"/>
    <w:basedOn w:val="VarsaylanParagrafYazTipi"/>
    <w:link w:val="KonuBal"/>
    <w:uiPriority w:val="1"/>
    <w:rsid w:val="0022057F"/>
    <w:rPr>
      <w:rFonts w:ascii="Arial" w:eastAsia="Arial" w:hAnsi="Arial" w:cs="Arial"/>
      <w:sz w:val="123"/>
      <w:szCs w:val="123"/>
      <w:lang w:val="en-US"/>
    </w:rPr>
  </w:style>
  <w:style w:type="paragraph" w:styleId="ListeParagraf">
    <w:name w:val="List Paragraph"/>
    <w:basedOn w:val="Normal"/>
    <w:uiPriority w:val="34"/>
    <w:qFormat/>
    <w:rsid w:val="0022057F"/>
    <w:pPr>
      <w:spacing w:before="191"/>
      <w:ind w:left="726" w:hanging="708"/>
    </w:pPr>
  </w:style>
  <w:style w:type="paragraph" w:customStyle="1" w:styleId="TableParagraph">
    <w:name w:val="Table Paragraph"/>
    <w:basedOn w:val="Normal"/>
    <w:uiPriority w:val="1"/>
    <w:qFormat/>
    <w:rsid w:val="0022057F"/>
  </w:style>
  <w:style w:type="paragraph" w:styleId="BalonMetni">
    <w:name w:val="Balloon Text"/>
    <w:basedOn w:val="Normal"/>
    <w:link w:val="BalonMetniChar"/>
    <w:uiPriority w:val="99"/>
    <w:semiHidden/>
    <w:unhideWhenUsed/>
    <w:rsid w:val="0022057F"/>
    <w:rPr>
      <w:rFonts w:ascii="Tahoma" w:hAnsi="Tahoma" w:cs="Tahoma"/>
      <w:sz w:val="16"/>
      <w:szCs w:val="16"/>
    </w:rPr>
  </w:style>
  <w:style w:type="character" w:customStyle="1" w:styleId="BalonMetniChar">
    <w:name w:val="Balon Metni Char"/>
    <w:basedOn w:val="VarsaylanParagrafYazTipi"/>
    <w:link w:val="BalonMetni"/>
    <w:uiPriority w:val="99"/>
    <w:semiHidden/>
    <w:rsid w:val="0022057F"/>
    <w:rPr>
      <w:rFonts w:ascii="Tahoma" w:eastAsia="Arial"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791</Words>
  <Characters>4512</Characters>
  <Application>Microsoft Office Word</Application>
  <DocSecurity>0</DocSecurity>
  <Lines>37</Lines>
  <Paragraphs>10</Paragraphs>
  <ScaleCrop>false</ScaleCrop>
  <Company/>
  <LinksUpToDate>false</LinksUpToDate>
  <CharactersWithSpaces>5293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6</cp:revision>
  <dcterms:created xsi:type="dcterms:W3CDTF">2020-07-17T16:04:00Z</dcterms:created>
  <dcterms:modified xsi:type="dcterms:W3CDTF">2020-07-17T21:21:00Z</dcterms:modified>
</cp:coreProperties>
</file>