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82" w:rsidRDefault="00A84A82" w:rsidP="00A84A8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Mehir olarak verilebilen her şey muhâlaa bedeli olarak da verilebilir. Yukarıda geçen hadise bakıldığında muhâlaada asl olanın verilen mehir bedelinin iade edilmesi olduğu görülür. Şâfiîlere ve Mâlikîlere göre kadının ödemeyi kabul ettiği bu bedelin bir alt sınırı ya da üst sınırı yoktur. Çünkü ayette geçen “kadının (boşanmak için) bedel vermesinde ikisine de günah yoktur “ ifadesinde bu bedelin alt ya da üst sınırı belirtilmemiştir. Hanefîler ise muhâlaa bedelinin mehir bedelinden daha fazla olmasını mekruh saymışlardır. Onların bu konuda dayandıkları delil, bazı rivayetlerde Sâbit b. Kays’a muhâlaa bedeli verilmesi söz konusu olduğunda Hz. Peygamber’in bu bedelin mehirden fazla olmasına karşı çıktığına dair ifadeler yer almasıdır. Hanefîlere göre, eğer erkek evlilik huzurunu bozan davranışlar içerisindeyse muhâlaa için bir bedel alması mekruh olur.</w:t>
      </w:r>
    </w:p>
    <w:p w:rsidR="00A84A82" w:rsidRPr="009A30E5" w:rsidRDefault="00A84A82" w:rsidP="00A84A8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Fakîhlerin bu yaklaşımları arasında pek fark yoktur. Çünkü farklılık, kerâhet kavramı etrafında dönmektedir. Buna göre önemli olan tarafların söz konusu bedel üzerinde anlaşmalarıdır. Bu bedelin değeri, kadına ödenmiş olan mehir miktarına eşit olabileceği gibi, ondan daha az ya da daha fazla da olabilir. Zorunlu olmamakla birlikte muhâlaa bedelinin belirlenmesinde mehir miktarı dikkate alınmıştır. Nitekim bazı fakihlerin bu doğrultuda bir terminoloji geliştirdiklerini de görmekteyiz. Buna göre kadın, kendisine verilen mehrin tamamını geri vermeyi kabul ederse buna hul’ denir. Eğer kadın mehirden daha az bir bedel vermeyi kabul ederse, bu “sulh” diye isimlendirilir. Miktarın daha fazla olması durumunda ise verilen bedele “fidye” denir. Eğer kadın kocasından alacağı bir hak olup da bu hakkını almaktan vazgeçerse, buna da “mübâree” denir. Ancak genel kullanıma göre muha’ala (hul’) bütün bunları kapsayan bir kavramdır.</w:t>
      </w:r>
    </w:p>
    <w:p w:rsidR="00A84A82" w:rsidRPr="009A30E5" w:rsidRDefault="00A84A82" w:rsidP="00A84A82">
      <w:pPr>
        <w:pStyle w:val="ListeParagraf"/>
        <w:numPr>
          <w:ilvl w:val="0"/>
          <w:numId w:val="20"/>
        </w:numPr>
        <w:spacing w:after="0"/>
        <w:ind w:left="1418" w:right="1418"/>
        <w:jc w:val="both"/>
        <w:rPr>
          <w:rFonts w:asciiTheme="majorBidi" w:hAnsiTheme="majorBidi" w:cstheme="majorBidi"/>
          <w:b/>
          <w:sz w:val="24"/>
          <w:szCs w:val="24"/>
        </w:rPr>
      </w:pPr>
      <w:r w:rsidRPr="009A30E5">
        <w:rPr>
          <w:rFonts w:asciiTheme="majorBidi" w:hAnsiTheme="majorBidi" w:cstheme="majorBidi"/>
          <w:b/>
          <w:sz w:val="24"/>
          <w:szCs w:val="24"/>
        </w:rPr>
        <w:t>Muhâlaa Talak mıdır Yoksa Fesih midir?</w:t>
      </w:r>
    </w:p>
    <w:p w:rsidR="00A84A82" w:rsidRPr="009A30E5" w:rsidRDefault="00A84A82" w:rsidP="00A84A8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Alimlerin çoğunluğuna göre muhâlaa ile gerçekleşen ayrılık bâin bir talâktır. Ebû Hanîfe ve İmâm Mâlik de bu görüştedir. Çünkü muhâlaada kadın, kocasının kendisini boşaması için bir bedel ödemeye razı olmaktadır. Sâbit b. Kays ile eşinin arasında olan da budur. İbn Hazm’a göre ise bu talakın ric’î ya da bâin olması kaçıncı talak olduğuna göre değişir. Yani eğer muhâlaa ile gerçekleşen talak, evlilik esnasında yaşanan ilk ya da ikinci talak ise bunlar ric’î talâktır. Bu talâk üçüncü ise, bâin bir talâktır. İmâm Şâfî ile Ahmed b. Hanbel’in konu hakkında ne düşündüğüne dair iki farklı rivayet vardır. Bunlardan ilkine göre bu iki imam, Ebu Hanîfe ve İmâm Mâlik ile aynı görüştedir. Diğer rivayet ise onların muhâlaayı talak değil de fesih olarak kabul ettikleri şeklindedir. Dâvud ez-Zâhirî de bu görüştedir.</w:t>
      </w:r>
    </w:p>
    <w:p w:rsidR="00A84A82" w:rsidRPr="009A30E5" w:rsidRDefault="00A84A82" w:rsidP="00A84A82">
      <w:pPr>
        <w:ind w:left="1418" w:right="1418" w:firstLine="708"/>
        <w:jc w:val="both"/>
        <w:rPr>
          <w:rFonts w:asciiTheme="majorBidi" w:hAnsiTheme="majorBidi" w:cstheme="majorBidi"/>
          <w:sz w:val="24"/>
          <w:szCs w:val="24"/>
        </w:rPr>
      </w:pPr>
      <w:r w:rsidRPr="009A30E5">
        <w:rPr>
          <w:rFonts w:asciiTheme="majorBidi" w:hAnsiTheme="majorBidi" w:cstheme="majorBidi"/>
          <w:sz w:val="24"/>
          <w:szCs w:val="24"/>
        </w:rPr>
        <w:t xml:space="preserve">Evli bir çift arasında gerçekleştirilen muhâlaanın talak sayılması halinde, bu talak çiftin sahip olduğu üç talak hakkından birinin eksilmesi sonucunu doğurur. Muhâlaanın </w:t>
      </w:r>
      <w:r w:rsidRPr="009A30E5">
        <w:rPr>
          <w:rFonts w:asciiTheme="majorBidi" w:hAnsiTheme="majorBidi" w:cstheme="majorBidi"/>
          <w:sz w:val="24"/>
          <w:szCs w:val="24"/>
        </w:rPr>
        <w:lastRenderedPageBreak/>
        <w:t xml:space="preserve">fesih sayılması halinde ise bu ayrılık, üç talak hakkından birinin eksilmesi sonucunu doğurmaz. </w:t>
      </w:r>
    </w:p>
    <w:p w:rsidR="00A84A82" w:rsidRPr="009A30E5" w:rsidRDefault="00A84A82" w:rsidP="00A84A82">
      <w:pPr>
        <w:pStyle w:val="ListeParagraf"/>
        <w:numPr>
          <w:ilvl w:val="0"/>
          <w:numId w:val="19"/>
        </w:numPr>
        <w:tabs>
          <w:tab w:val="left" w:pos="993"/>
        </w:tabs>
        <w:spacing w:after="0"/>
        <w:ind w:left="1418" w:right="1418" w:hanging="11"/>
        <w:jc w:val="both"/>
        <w:rPr>
          <w:rFonts w:asciiTheme="majorBidi" w:hAnsiTheme="majorBidi" w:cstheme="majorBidi"/>
          <w:b/>
          <w:sz w:val="24"/>
          <w:szCs w:val="24"/>
        </w:rPr>
      </w:pPr>
      <w:r w:rsidRPr="009A30E5">
        <w:rPr>
          <w:rFonts w:asciiTheme="majorBidi" w:hAnsiTheme="majorBidi" w:cstheme="majorBidi"/>
          <w:b/>
          <w:sz w:val="24"/>
          <w:szCs w:val="24"/>
        </w:rPr>
        <w:t>Zıhâr</w:t>
      </w:r>
    </w:p>
    <w:p w:rsidR="00A84A82" w:rsidRPr="009A30E5" w:rsidRDefault="00A84A82" w:rsidP="00A84A82">
      <w:pPr>
        <w:tabs>
          <w:tab w:val="left" w:pos="709"/>
        </w:tabs>
        <w:ind w:left="1418" w:right="1418"/>
        <w:jc w:val="both"/>
        <w:rPr>
          <w:rFonts w:asciiTheme="majorBidi" w:hAnsiTheme="majorBidi" w:cstheme="majorBidi"/>
          <w:bCs/>
          <w:sz w:val="24"/>
          <w:szCs w:val="24"/>
        </w:rPr>
      </w:pPr>
      <w:r w:rsidRPr="009A30E5">
        <w:rPr>
          <w:rFonts w:asciiTheme="majorBidi" w:hAnsiTheme="majorBidi" w:cstheme="majorBidi"/>
          <w:sz w:val="24"/>
          <w:szCs w:val="24"/>
        </w:rPr>
        <w:tab/>
      </w:r>
      <w:r w:rsidRPr="009A30E5">
        <w:rPr>
          <w:rFonts w:asciiTheme="majorBidi" w:hAnsiTheme="majorBidi" w:cstheme="majorBidi"/>
          <w:bCs/>
          <w:sz w:val="24"/>
          <w:szCs w:val="24"/>
        </w:rPr>
        <w:t>Zıhâr kelimesi “sırt” anlamına gelen “zahr” kelimesinden türetilmiştir. Bir erkeğin, eşine “sen, bana annemin sırtı gibisin diyerek” onunla bir daha cinsel birliktelikte bulunmak istemediğini ifade etmesine zıhâr denir.</w:t>
      </w:r>
    </w:p>
    <w:p w:rsidR="00A84A82" w:rsidRPr="009A30E5" w:rsidRDefault="00A84A82" w:rsidP="00A84A82">
      <w:pPr>
        <w:tabs>
          <w:tab w:val="left" w:pos="709"/>
        </w:tabs>
        <w:ind w:left="1418" w:right="1418"/>
        <w:jc w:val="both"/>
        <w:rPr>
          <w:rFonts w:asciiTheme="majorBidi" w:hAnsiTheme="majorBidi" w:cstheme="majorBidi"/>
          <w:bCs/>
          <w:sz w:val="24"/>
          <w:szCs w:val="24"/>
        </w:rPr>
      </w:pPr>
      <w:r w:rsidRPr="009A30E5">
        <w:rPr>
          <w:rFonts w:asciiTheme="majorBidi" w:hAnsiTheme="majorBidi" w:cstheme="majorBidi"/>
          <w:bCs/>
          <w:sz w:val="24"/>
          <w:szCs w:val="24"/>
        </w:rPr>
        <w:tab/>
        <w:t xml:space="preserve">Bu söz Câhiliye Arapları tarafından kullanılan bir sözdü. Bu sözle birlikte kadın erkeğe ebediyen haram sayılırdı. Huveyle bt. Mâlik’in, kocası Evs b. es-Sâmit’in kendisine zıhârda bulunmasını Hz. Peygamber’e gelerek şikayet ermesi üzerine Mücâdele suresinin ilk ayetleri bu konuda nazil olmuştur. İlk iki ayet şu şekildedir: “Allah, eşi konusunda seninle tartışan ve Allah'a şikayette bulunan (kadın)ın sözünü işitti. Allah, aranızda geçen konuşmaları işitiyordu. Şüphesiz Allah, işitendir, görendir. Sizden kadınlarına zıhârda bulunanlar (bilsinler ki, kadınları) onların anneleri değildir. Anneleri, yalnızca kendilerini doğuranlardır. Şüphesiz onlar, çirkin ve asılsız bir söz söylemektedirler. Gerçekten Allah, çok affeden, çok bağışlayandır”. Bu nedenle zıhârda bulunmak haramdır. </w:t>
      </w:r>
    </w:p>
    <w:p w:rsidR="00A84A82" w:rsidRPr="009A30E5" w:rsidRDefault="00A84A82" w:rsidP="00A84A8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Zıhârda bulunmak, ayrılma iradesini hoş olmayan bir şekilde ortaya koymak anlamına gelmektedir. Fakat ortada bir ayrılma iradesi olduğundan dolayı zıhâr, bir ayrılma şekli olarak değerlendirilmiştir. Ancak bu ayrılık tam anlamıyla bir boşanma ya da ayrılık değil, muvakkat ve kısmi bir haramlıktır. Muvakkat ayrılık, sadece cinsel açıdandır. Yoksa tarafların birbirinden tamamen ayrılmaları şeklinde değildir. Zıhâr, neticesinde iki hüküm meydana gelmektedir. Bunlardan ilki, zıhâr keffareti yerine getirilinceye kadar cinsel birlikteliğin haram oluşudur. İkinci hüküm ise zıhâr keffaretinin yerine getirilmesidir. Zıhâr keffâreti Mücâdele suresinin 3 ve 4. Ayetlerinde şu şekilde açıklanmaktadır:</w:t>
      </w:r>
    </w:p>
    <w:p w:rsidR="00A84A82" w:rsidRPr="009A30E5" w:rsidRDefault="00A84A82" w:rsidP="00A84A82">
      <w:pPr>
        <w:tabs>
          <w:tab w:val="left" w:pos="709"/>
        </w:tabs>
        <w:ind w:left="1418" w:right="1418"/>
        <w:jc w:val="both"/>
        <w:rPr>
          <w:rFonts w:asciiTheme="majorBidi" w:hAnsiTheme="majorBidi" w:cstheme="majorBidi"/>
          <w:bCs/>
          <w:sz w:val="24"/>
          <w:szCs w:val="24"/>
        </w:rPr>
      </w:pPr>
      <w:r w:rsidRPr="009A30E5">
        <w:rPr>
          <w:rFonts w:asciiTheme="majorBidi" w:hAnsiTheme="majorBidi" w:cstheme="majorBidi"/>
          <w:bCs/>
          <w:sz w:val="24"/>
          <w:szCs w:val="24"/>
        </w:rPr>
        <w:tab/>
        <w:t>“Kadınlarına zıhârda bulunup sonra söyledikleri bu sözden geri dönenlerin (avd), birbirleriyle temas etmeden önce bir köleyi özgürlüğüne kavuşturmaları gerekir. İşte bununla size öğüt verilmektedir. Allah, yaptıklarınızdan haberdardır.</w:t>
      </w:r>
    </w:p>
    <w:p w:rsidR="00A84A82" w:rsidRPr="009A30E5" w:rsidRDefault="00A84A82" w:rsidP="00A84A82">
      <w:pPr>
        <w:tabs>
          <w:tab w:val="left" w:pos="709"/>
        </w:tabs>
        <w:ind w:left="1418" w:right="1418"/>
        <w:jc w:val="both"/>
        <w:rPr>
          <w:rFonts w:asciiTheme="majorBidi" w:hAnsiTheme="majorBidi" w:cstheme="majorBidi"/>
          <w:bCs/>
          <w:sz w:val="24"/>
          <w:szCs w:val="24"/>
        </w:rPr>
      </w:pPr>
      <w:r w:rsidRPr="009A30E5">
        <w:rPr>
          <w:rFonts w:asciiTheme="majorBidi" w:hAnsiTheme="majorBidi" w:cstheme="majorBidi"/>
          <w:bCs/>
          <w:sz w:val="24"/>
          <w:szCs w:val="24"/>
        </w:rPr>
        <w:tab/>
        <w:t xml:space="preserve">Ancak buna imkan bulamayanlar (için de) birbirleriyle temas etmeden önce, kesintisiz iki ay oruç (yüklenmiştir); buna güç yetiremeyenler altmış yoksulu doyursun. Bu (kolaylık), Allah'a ve O'nun Resûlü’ne iman etmeniz dolayısıyladır.” </w:t>
      </w:r>
    </w:p>
    <w:p w:rsidR="00A84A82" w:rsidRPr="009A30E5" w:rsidRDefault="00A84A82" w:rsidP="00A84A82">
      <w:pPr>
        <w:tabs>
          <w:tab w:val="left" w:pos="709"/>
        </w:tabs>
        <w:ind w:left="1418" w:right="1418"/>
        <w:jc w:val="both"/>
        <w:rPr>
          <w:rFonts w:asciiTheme="majorBidi" w:hAnsiTheme="majorBidi" w:cstheme="majorBidi"/>
          <w:bCs/>
          <w:sz w:val="24"/>
          <w:szCs w:val="24"/>
        </w:rPr>
      </w:pPr>
      <w:r w:rsidRPr="009A30E5">
        <w:rPr>
          <w:rFonts w:asciiTheme="majorBidi" w:hAnsiTheme="majorBidi" w:cstheme="majorBidi"/>
          <w:bCs/>
          <w:sz w:val="24"/>
          <w:szCs w:val="24"/>
        </w:rPr>
        <w:tab/>
        <w:t>Buna göre zıhâr keffâreti şu şekildedir:</w:t>
      </w:r>
    </w:p>
    <w:p w:rsidR="00A84A82" w:rsidRPr="009A30E5" w:rsidRDefault="00A84A82" w:rsidP="00A84A82">
      <w:pPr>
        <w:pStyle w:val="ListeParagraf"/>
        <w:numPr>
          <w:ilvl w:val="0"/>
          <w:numId w:val="18"/>
        </w:numPr>
        <w:tabs>
          <w:tab w:val="left" w:pos="709"/>
        </w:tabs>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Bir köle azâd etmek</w:t>
      </w:r>
    </w:p>
    <w:p w:rsidR="00A84A82" w:rsidRPr="009A30E5" w:rsidRDefault="00A84A82" w:rsidP="00A84A82">
      <w:pPr>
        <w:pStyle w:val="ListeParagraf"/>
        <w:numPr>
          <w:ilvl w:val="0"/>
          <w:numId w:val="18"/>
        </w:numPr>
        <w:tabs>
          <w:tab w:val="left" w:pos="709"/>
        </w:tabs>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Köle azâd etmeye gücü ve imkanı olmayanların iki ay aralıksız oruç tutmaları</w:t>
      </w:r>
    </w:p>
    <w:p w:rsidR="00A84A82" w:rsidRPr="009A30E5" w:rsidRDefault="00A84A82" w:rsidP="00A84A82">
      <w:pPr>
        <w:pStyle w:val="ListeParagraf"/>
        <w:numPr>
          <w:ilvl w:val="0"/>
          <w:numId w:val="18"/>
        </w:numPr>
        <w:tabs>
          <w:tab w:val="left" w:pos="709"/>
        </w:tabs>
        <w:spacing w:after="0"/>
        <w:ind w:left="1418" w:right="1418"/>
        <w:jc w:val="both"/>
        <w:rPr>
          <w:rFonts w:asciiTheme="majorBidi" w:hAnsiTheme="majorBidi" w:cstheme="majorBidi"/>
          <w:sz w:val="24"/>
          <w:szCs w:val="24"/>
        </w:rPr>
      </w:pPr>
      <w:r w:rsidRPr="009A30E5">
        <w:rPr>
          <w:rFonts w:asciiTheme="majorBidi" w:hAnsiTheme="majorBidi" w:cstheme="majorBidi"/>
          <w:sz w:val="24"/>
          <w:szCs w:val="24"/>
        </w:rPr>
        <w:t>Oruç tutmaya gücü yetmeyenlerin altmış yoksulu bir günlük doyurması.</w:t>
      </w:r>
    </w:p>
    <w:p w:rsidR="00A84A82" w:rsidRPr="009A30E5" w:rsidRDefault="00A84A82" w:rsidP="00A84A8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 xml:space="preserve">Ayetten de anlaşıldığı gibi, zıhâr keffâreti, zıhârda bulunduktan sonra aradaki muvakkat haramlık kaldırılmak istendiğinde gerekli olur. Bir kimse zıhârda bulunduktan sonra </w:t>
      </w:r>
      <w:r w:rsidRPr="009A30E5">
        <w:rPr>
          <w:rFonts w:asciiTheme="majorBidi" w:hAnsiTheme="majorBidi" w:cstheme="majorBidi"/>
          <w:sz w:val="24"/>
          <w:szCs w:val="24"/>
        </w:rPr>
        <w:lastRenderedPageBreak/>
        <w:t>eşi ile tekrar birlikte olmayı istemeyip onu boşamak isterse cumhura göre zıhâr keffaretini yerine getirmesi gerekmez. Ancak boşadıktan sonra iddet dönemindeyken ric’at ederse yeniden cinsel birliktelik kurabilmek için keffareti yerine getirmesi gerekir.</w:t>
      </w:r>
    </w:p>
    <w:p w:rsidR="00A84A82" w:rsidRPr="009A30E5" w:rsidRDefault="00A84A82" w:rsidP="00A84A8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Hanefîlere göre kişi anne yerine “teyze” gibi evlenilmesi haram olan kadınlardan herhangi birini zikrettiğinde de zıhâr gerçekleşir. Cumhura göre ise zıhâr sadece annenin zikredilmesi halinde gerçekleşir. Ancak bir kimse eşine annesine duyduğu saygı kadar saygı duyduğunu “sen, annem gibisin” şeklinde bir sözle ifade etse bu zıhâr sayılmaz.</w:t>
      </w:r>
    </w:p>
    <w:p w:rsidR="00A84A82" w:rsidRPr="009A30E5" w:rsidRDefault="00A84A82" w:rsidP="00A84A82">
      <w:pPr>
        <w:tabs>
          <w:tab w:val="left" w:pos="709"/>
        </w:tabs>
        <w:ind w:left="1418" w:right="1418"/>
        <w:jc w:val="both"/>
        <w:rPr>
          <w:rFonts w:asciiTheme="majorBidi" w:hAnsiTheme="majorBidi" w:cstheme="majorBidi"/>
          <w:sz w:val="24"/>
          <w:szCs w:val="24"/>
        </w:rPr>
      </w:pPr>
      <w:r w:rsidRPr="009A30E5">
        <w:rPr>
          <w:rFonts w:asciiTheme="majorBidi" w:hAnsiTheme="majorBidi" w:cstheme="majorBidi"/>
          <w:sz w:val="24"/>
          <w:szCs w:val="24"/>
        </w:rPr>
        <w:tab/>
        <w:t>Cumhûra göre, zıhâr sadece bu ifadenin erkek tarafından kullanılması ile olur. Kadının benzeri bir ifade kullanması ile zıhar oluşmaz. Ancak Hanbelîlere göre kadının yaptığı zıhâr dikkate alınır. Kadının zıhârından sonra erkek kadın ile cinsel birliktelikte bulununca kadının zıhar keffaretini yerine getirmesi gerekir.</w:t>
      </w:r>
    </w:p>
    <w:p w:rsidR="00D93C16" w:rsidRPr="00A84A82" w:rsidRDefault="00A84A82" w:rsidP="00A84A82"/>
    <w:sectPr w:rsidR="00D93C16" w:rsidRPr="00A84A82"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25E45D32"/>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519B500C"/>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431BD7B6"/>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5E45D32"/>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519B500C"/>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431BD7B6"/>
    <w:lvl w:ilvl="0" w:tplc="FFFFFFFF">
      <w:start w:val="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1D4ED43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725A06F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2CD89A32"/>
    <w:lvl w:ilvl="0" w:tplc="FFFFFFFF">
      <w:start w:val="1"/>
      <w:numFmt w:val="bullet"/>
      <w:lvlText w:val="'"/>
      <w:lvlJc w:val="left"/>
    </w:lvl>
    <w:lvl w:ilvl="1" w:tplc="FFFFFFFF">
      <w:start w:val="1"/>
      <w:numFmt w:val="bullet"/>
      <w:lvlText w:val="&quot;"/>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5"/>
    <w:multiLevelType w:val="hybridMultilevel"/>
    <w:tmpl w:val="542289EC"/>
    <w:lvl w:ilvl="0" w:tplc="FFFFFFFF">
      <w:start w:val="1"/>
      <w:numFmt w:val="bullet"/>
      <w:lvlText w:val="-"/>
      <w:lvlJc w:val="left"/>
    </w:lvl>
    <w:lvl w:ilvl="1" w:tplc="FFFFFFFF">
      <w:start w:val="1"/>
      <w:numFmt w:val="bullet"/>
      <w:lvlText w:val="_"/>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6DE91B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38437FDA"/>
    <w:lvl w:ilvl="0" w:tplc="FFFFFFFF">
      <w:start w:val="1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91B5B1F"/>
    <w:multiLevelType w:val="hybridMultilevel"/>
    <w:tmpl w:val="DF06699A"/>
    <w:lvl w:ilvl="0" w:tplc="C6E852D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nsid w:val="618745F2"/>
    <w:multiLevelType w:val="hybridMultilevel"/>
    <w:tmpl w:val="CB621310"/>
    <w:lvl w:ilvl="0" w:tplc="A588039C">
      <w:start w:val="1"/>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64EF7234"/>
    <w:multiLevelType w:val="hybridMultilevel"/>
    <w:tmpl w:val="2294E9FA"/>
    <w:lvl w:ilvl="0" w:tplc="AD72A2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6860779B"/>
    <w:multiLevelType w:val="hybridMultilevel"/>
    <w:tmpl w:val="12767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1D3469"/>
    <w:multiLevelType w:val="hybridMultilevel"/>
    <w:tmpl w:val="E4E4B768"/>
    <w:lvl w:ilvl="0" w:tplc="ACC8F208">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3"/>
  </w:num>
  <w:num w:numId="11">
    <w:abstractNumId w:val="4"/>
  </w:num>
  <w:num w:numId="12">
    <w:abstractNumId w:val="5"/>
  </w:num>
  <w:num w:numId="13">
    <w:abstractNumId w:val="0"/>
  </w:num>
  <w:num w:numId="14">
    <w:abstractNumId w:val="1"/>
  </w:num>
  <w:num w:numId="15">
    <w:abstractNumId w:val="2"/>
  </w:num>
  <w:num w:numId="16">
    <w:abstractNumId w:val="19"/>
  </w:num>
  <w:num w:numId="17">
    <w:abstractNumId w:val="15"/>
  </w:num>
  <w:num w:numId="18">
    <w:abstractNumId w:val="16"/>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55AF"/>
    <w:rsid w:val="003455AF"/>
    <w:rsid w:val="00354863"/>
    <w:rsid w:val="00402397"/>
    <w:rsid w:val="00534153"/>
    <w:rsid w:val="00563EF3"/>
    <w:rsid w:val="00680C6B"/>
    <w:rsid w:val="00A03A00"/>
    <w:rsid w:val="00A81D18"/>
    <w:rsid w:val="00A84A82"/>
    <w:rsid w:val="00BF13F9"/>
    <w:rsid w:val="00C04648"/>
    <w:rsid w:val="00C20B80"/>
    <w:rsid w:val="00CB305E"/>
    <w:rsid w:val="00F712B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A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D1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2020-07-17T16:19:00Z</dcterms:created>
  <dcterms:modified xsi:type="dcterms:W3CDTF">2020-07-17T21:23:00Z</dcterms:modified>
</cp:coreProperties>
</file>