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A82" w:rsidRDefault="00A84A82" w:rsidP="00A84A82">
      <w:pPr>
        <w:ind w:left="1418" w:right="1418" w:firstLine="708"/>
        <w:jc w:val="both"/>
        <w:rPr>
          <w:rFonts w:asciiTheme="majorBidi" w:hAnsiTheme="majorBidi" w:cstheme="majorBidi"/>
          <w:sz w:val="24"/>
          <w:szCs w:val="24"/>
        </w:rPr>
      </w:pPr>
      <w:r w:rsidRPr="009A30E5">
        <w:rPr>
          <w:rFonts w:asciiTheme="majorBidi" w:hAnsiTheme="majorBidi" w:cstheme="majorBidi"/>
          <w:sz w:val="24"/>
          <w:szCs w:val="24"/>
        </w:rPr>
        <w:t>Mehir olarak verilebilen her şey muhâlaa bedeli olarak da verilebilir. Yukarıda geçen hadise bakıldığında muhâlaada asl olanın verilen mehir bedelinin iade edilmesi olduğu görülür. Şâfiîlere ve Mâlikîlere göre kadının ödemeyi kabul ettiği bu bedelin bir alt sınırı ya da üst sınırı yoktur. Çünkü ayette geçen “kadının (boşanmak için) bedel vermesinde ikisine de günah yoktur “ ifadesinde bu bedelin alt ya da üst sınırı belirtilmemiştir. Hanefîler ise muhâlaa bedelinin mehir bedelinden daha fazla olmasını mekruh saymışlardır. Onların bu konuda dayandıkları delil, bazı rivayetlerde Sâbit b. Kays’a muhâlaa bedeli verilmesi söz konusu olduğunda Hz. Peygamber’in bu bedelin mehirden fazla olmasına karşı çıktığına dair ifadeler yer almasıdır. Hanefîlere göre, eğer erkek evlilik huzurunu bozan davranışlar içerisindeyse muhâlaa için bir bedel alması mekruh olur.</w:t>
      </w:r>
    </w:p>
    <w:p w:rsidR="00A84A82" w:rsidRPr="009A30E5" w:rsidRDefault="00A84A82" w:rsidP="00A84A82">
      <w:pPr>
        <w:ind w:left="1418" w:right="1418" w:firstLine="708"/>
        <w:jc w:val="both"/>
        <w:rPr>
          <w:rFonts w:asciiTheme="majorBidi" w:hAnsiTheme="majorBidi" w:cstheme="majorBidi"/>
          <w:sz w:val="24"/>
          <w:szCs w:val="24"/>
        </w:rPr>
      </w:pPr>
      <w:r w:rsidRPr="009A30E5">
        <w:rPr>
          <w:rFonts w:asciiTheme="majorBidi" w:hAnsiTheme="majorBidi" w:cstheme="majorBidi"/>
          <w:sz w:val="24"/>
          <w:szCs w:val="24"/>
        </w:rPr>
        <w:t>Fakîhlerin bu yaklaşımları arasında pek fark yoktur. Çünkü farklılık, kerâhet kavramı etrafında dönmektedir. Buna göre önemli olan tarafların söz konusu bedel üzerinde anlaşmalarıdır. Bu bedelin değeri, kadına ödenmiş olan mehir miktarına eşit olabileceği gibi, ondan daha az ya da daha fazla da olabilir. Zorunlu olmamakla birlikte muhâlaa bedelinin belirlenmesinde mehir miktarı dikkate alınmıştır. Nitekim bazı fakihlerin bu doğrultuda bir terminoloji geliştirdiklerini de görmekteyiz. Buna göre kadın, kendisine verilen mehrin tamamını geri vermeyi kabul ederse buna hul’ denir. Eğer kadın mehirden daha az bir bedel vermeyi kabul ederse, bu “sulh” diye isimlendirilir. Miktarın daha fazla olması durumunda ise verilen bedele “fidye” denir. Eğer kadın kocasından alacağı bir hak olup da bu hakkını almaktan vazgeçerse, buna da “mübâree” denir. Ancak genel kullanıma göre muha’ala (hul’) bütün bunları kapsayan bir kavramdır.</w:t>
      </w:r>
    </w:p>
    <w:p w:rsidR="00A84A82" w:rsidRPr="009A30E5" w:rsidRDefault="00A84A82" w:rsidP="00A84A82">
      <w:pPr>
        <w:pStyle w:val="ListeParagraf"/>
        <w:numPr>
          <w:ilvl w:val="0"/>
          <w:numId w:val="20"/>
        </w:numPr>
        <w:spacing w:after="0"/>
        <w:ind w:left="1418" w:right="1418"/>
        <w:jc w:val="both"/>
        <w:rPr>
          <w:rFonts w:asciiTheme="majorBidi" w:hAnsiTheme="majorBidi" w:cstheme="majorBidi"/>
          <w:b/>
          <w:sz w:val="24"/>
          <w:szCs w:val="24"/>
        </w:rPr>
      </w:pPr>
      <w:r w:rsidRPr="009A30E5">
        <w:rPr>
          <w:rFonts w:asciiTheme="majorBidi" w:hAnsiTheme="majorBidi" w:cstheme="majorBidi"/>
          <w:b/>
          <w:sz w:val="24"/>
          <w:szCs w:val="24"/>
        </w:rPr>
        <w:t>Muhâlaa Talak mıdır Yoksa Fesih midir?</w:t>
      </w:r>
    </w:p>
    <w:p w:rsidR="00A84A82" w:rsidRPr="009A30E5" w:rsidRDefault="00A84A82" w:rsidP="00A84A82">
      <w:pPr>
        <w:ind w:left="1418" w:right="1418" w:firstLine="708"/>
        <w:jc w:val="both"/>
        <w:rPr>
          <w:rFonts w:asciiTheme="majorBidi" w:hAnsiTheme="majorBidi" w:cstheme="majorBidi"/>
          <w:sz w:val="24"/>
          <w:szCs w:val="24"/>
        </w:rPr>
      </w:pPr>
      <w:r w:rsidRPr="009A30E5">
        <w:rPr>
          <w:rFonts w:asciiTheme="majorBidi" w:hAnsiTheme="majorBidi" w:cstheme="majorBidi"/>
          <w:sz w:val="24"/>
          <w:szCs w:val="24"/>
        </w:rPr>
        <w:t>Alimlerin çoğunluğuna göre muhâlaa ile gerçekleşen ayrılık bâin bir talâktır. Ebû Hanîfe ve İmâm Mâlik de bu görüştedir. Çünkü muhâlaada kadın, kocasının kendisini boşaması için bir bedel ödemeye razı olmaktadır. Sâbit b. Kays ile eşinin arasında olan da budur. İbn Hazm’a göre ise bu talakın ric’î ya da bâin olması kaçıncı talak olduğuna göre değişir. Yani eğer muhâlaa ile gerçekleşen talak, evlilik esnasında yaşanan ilk ya da ikinci talak ise bunlar ric’î talâktır. Bu talâk üçüncü ise, bâin bir talâktır. İmâm Şâfî ile Ahmed b. Hanbel’in konu hakkında ne düşündüğüne dair iki farklı rivayet vardır. Bunlardan ilkine göre bu iki imam, Ebu Hanîfe ve İmâm Mâlik ile aynı görüştedir. Diğer rivayet ise onların muhâlaayı talak değil de fesih olarak kabul ettikleri şeklindedir. Dâvud ez-Zâhirî de bu görüştedir.</w:t>
      </w:r>
    </w:p>
    <w:p w:rsidR="00A84A82" w:rsidRPr="009A30E5" w:rsidRDefault="00A84A82" w:rsidP="00A84A82">
      <w:pPr>
        <w:ind w:left="1418" w:right="1418" w:firstLine="708"/>
        <w:jc w:val="both"/>
        <w:rPr>
          <w:rFonts w:asciiTheme="majorBidi" w:hAnsiTheme="majorBidi" w:cstheme="majorBidi"/>
          <w:sz w:val="24"/>
          <w:szCs w:val="24"/>
        </w:rPr>
      </w:pPr>
      <w:r w:rsidRPr="009A30E5">
        <w:rPr>
          <w:rFonts w:asciiTheme="majorBidi" w:hAnsiTheme="majorBidi" w:cstheme="majorBidi"/>
          <w:sz w:val="24"/>
          <w:szCs w:val="24"/>
        </w:rPr>
        <w:t xml:space="preserve">Evli bir çift arasında gerçekleştirilen muhâlaanın talak sayılması halinde, bu talak çiftin sahip olduğu üç talak hakkından birinin eksilmesi sonucunu doğurur. Muhâlaanın </w:t>
      </w:r>
      <w:r w:rsidRPr="009A30E5">
        <w:rPr>
          <w:rFonts w:asciiTheme="majorBidi" w:hAnsiTheme="majorBidi" w:cstheme="majorBidi"/>
          <w:sz w:val="24"/>
          <w:szCs w:val="24"/>
        </w:rPr>
        <w:lastRenderedPageBreak/>
        <w:t xml:space="preserve">fesih sayılması halinde ise bu ayrılık, üç talak hakkından birinin eksilmesi sonucunu doğurmaz. </w:t>
      </w:r>
    </w:p>
    <w:p w:rsidR="00A84A82" w:rsidRPr="009A30E5" w:rsidRDefault="00A84A82" w:rsidP="00A84A82">
      <w:pPr>
        <w:pStyle w:val="ListeParagraf"/>
        <w:numPr>
          <w:ilvl w:val="0"/>
          <w:numId w:val="19"/>
        </w:numPr>
        <w:tabs>
          <w:tab w:val="left" w:pos="993"/>
        </w:tabs>
        <w:spacing w:after="0"/>
        <w:ind w:left="1418" w:right="1418" w:hanging="11"/>
        <w:jc w:val="both"/>
        <w:rPr>
          <w:rFonts w:asciiTheme="majorBidi" w:hAnsiTheme="majorBidi" w:cstheme="majorBidi"/>
          <w:b/>
          <w:sz w:val="24"/>
          <w:szCs w:val="24"/>
        </w:rPr>
      </w:pPr>
      <w:r w:rsidRPr="009A30E5">
        <w:rPr>
          <w:rFonts w:asciiTheme="majorBidi" w:hAnsiTheme="majorBidi" w:cstheme="majorBidi"/>
          <w:b/>
          <w:sz w:val="24"/>
          <w:szCs w:val="24"/>
        </w:rPr>
        <w:t>Zıhâr</w:t>
      </w:r>
    </w:p>
    <w:p w:rsidR="00A84A82" w:rsidRPr="009A30E5" w:rsidRDefault="00A84A82" w:rsidP="00A84A82">
      <w:pPr>
        <w:tabs>
          <w:tab w:val="left" w:pos="709"/>
        </w:tabs>
        <w:ind w:left="1418" w:right="1418"/>
        <w:jc w:val="both"/>
        <w:rPr>
          <w:rFonts w:asciiTheme="majorBidi" w:hAnsiTheme="majorBidi" w:cstheme="majorBidi"/>
          <w:bCs/>
          <w:sz w:val="24"/>
          <w:szCs w:val="24"/>
        </w:rPr>
      </w:pPr>
      <w:r w:rsidRPr="009A30E5">
        <w:rPr>
          <w:rFonts w:asciiTheme="majorBidi" w:hAnsiTheme="majorBidi" w:cstheme="majorBidi"/>
          <w:sz w:val="24"/>
          <w:szCs w:val="24"/>
        </w:rPr>
        <w:tab/>
      </w:r>
      <w:r w:rsidRPr="009A30E5">
        <w:rPr>
          <w:rFonts w:asciiTheme="majorBidi" w:hAnsiTheme="majorBidi" w:cstheme="majorBidi"/>
          <w:bCs/>
          <w:sz w:val="24"/>
          <w:szCs w:val="24"/>
        </w:rPr>
        <w:t>Zıhâr kelimesi “sırt” anlamına gelen “zahr” kelimesinden türetilmiştir. Bir erkeğin, eşine “sen, bana annemin sırtı gibisin diyerek” onunla bir daha cinsel birliktelikte bulunmak istemediğini ifade etmesine zıhâr denir.</w:t>
      </w:r>
    </w:p>
    <w:p w:rsidR="00A84A82" w:rsidRPr="009A30E5" w:rsidRDefault="00A84A82" w:rsidP="00A84A82">
      <w:pPr>
        <w:tabs>
          <w:tab w:val="left" w:pos="709"/>
        </w:tabs>
        <w:ind w:left="1418" w:right="1418"/>
        <w:jc w:val="both"/>
        <w:rPr>
          <w:rFonts w:asciiTheme="majorBidi" w:hAnsiTheme="majorBidi" w:cstheme="majorBidi"/>
          <w:bCs/>
          <w:sz w:val="24"/>
          <w:szCs w:val="24"/>
        </w:rPr>
      </w:pPr>
      <w:r w:rsidRPr="009A30E5">
        <w:rPr>
          <w:rFonts w:asciiTheme="majorBidi" w:hAnsiTheme="majorBidi" w:cstheme="majorBidi"/>
          <w:bCs/>
          <w:sz w:val="24"/>
          <w:szCs w:val="24"/>
        </w:rPr>
        <w:tab/>
        <w:t xml:space="preserve">Bu söz Câhiliye Arapları tarafından kullanılan bir sözdü. Bu sözle birlikte kadın erkeğe ebediyen haram sayılırdı. Huveyle bt. Mâlik’in, kocası Evs b. es-Sâmit’in kendisine zıhârda bulunmasını Hz. Peygamber’e gelerek şikayet ermesi üzerine Mücâdele suresinin ilk ayetleri bu konuda nazil olmuştur. İlk iki ayet şu şekildedir: “Allah, eşi konusunda seninle tartışan ve Allah'a şikayette bulunan (kadın)ın sözünü işitti. Allah, aranızda geçen konuşmaları işitiyordu. Şüphesiz Allah, işitendir, görendir. Sizden kadınlarına zıhârda bulunanlar (bilsinler ki, kadınları) onların anneleri değildir. Anneleri, yalnızca kendilerini doğuranlardır. Şüphesiz onlar, çirkin ve asılsız bir söz söylemektedirler. Gerçekten Allah, çok affeden, çok bağışlayandır”. Bu nedenle zıhârda bulunmak haramdır. </w:t>
      </w:r>
    </w:p>
    <w:p w:rsidR="00A84A82" w:rsidRPr="009A30E5" w:rsidRDefault="00A84A82" w:rsidP="00A84A82">
      <w:pPr>
        <w:tabs>
          <w:tab w:val="left" w:pos="709"/>
        </w:tabs>
        <w:ind w:left="1418" w:right="1418"/>
        <w:jc w:val="both"/>
        <w:rPr>
          <w:rFonts w:asciiTheme="majorBidi" w:hAnsiTheme="majorBidi" w:cstheme="majorBidi"/>
          <w:sz w:val="24"/>
          <w:szCs w:val="24"/>
        </w:rPr>
      </w:pPr>
      <w:r w:rsidRPr="009A30E5">
        <w:rPr>
          <w:rFonts w:asciiTheme="majorBidi" w:hAnsiTheme="majorBidi" w:cstheme="majorBidi"/>
          <w:sz w:val="24"/>
          <w:szCs w:val="24"/>
        </w:rPr>
        <w:tab/>
        <w:t>Zıhârda bulunmak, ayrılma iradesini hoş olmayan bir şekilde ortaya koymak anlamına gelmektedir. Fakat ortada bir ayrılma iradesi olduğundan dolayı zıhâr, bir ayrılma şekli olarak değerlendirilmiştir. Ancak bu ayrılık tam anlamıyla bir boşanma ya da ayrılık değil, muvakkat ve kısmi bir haramlıktır. Muvakkat ayrılık, sadece cinsel açıdandır. Yoksa tarafların birbirinden tamamen ayrılmaları şeklinde değildir. Zıhâr, neticesinde iki hüküm meydana gelmektedir. Bunlardan ilki, zıhâr keffareti yerine getirilinceye kadar cinsel birlikteliğin haram oluşudur. İkinci hüküm ise zıhâr keffaretinin yerine getirilmesidir. Zıhâr keffâreti Mücâdele suresinin 3 ve 4. Ayetlerinde şu şekilde açıklanmaktadır:</w:t>
      </w:r>
    </w:p>
    <w:p w:rsidR="00A84A82" w:rsidRPr="009A30E5" w:rsidRDefault="00A84A82" w:rsidP="00A84A82">
      <w:pPr>
        <w:tabs>
          <w:tab w:val="left" w:pos="709"/>
        </w:tabs>
        <w:ind w:left="1418" w:right="1418"/>
        <w:jc w:val="both"/>
        <w:rPr>
          <w:rFonts w:asciiTheme="majorBidi" w:hAnsiTheme="majorBidi" w:cstheme="majorBidi"/>
          <w:bCs/>
          <w:sz w:val="24"/>
          <w:szCs w:val="24"/>
        </w:rPr>
      </w:pPr>
      <w:r w:rsidRPr="009A30E5">
        <w:rPr>
          <w:rFonts w:asciiTheme="majorBidi" w:hAnsiTheme="majorBidi" w:cstheme="majorBidi"/>
          <w:bCs/>
          <w:sz w:val="24"/>
          <w:szCs w:val="24"/>
        </w:rPr>
        <w:tab/>
        <w:t>“Kadınlarına zıhârda bulunup sonra söyledikleri bu sözden geri dönenlerin (avd), birbirleriyle temas etmeden önce bir köleyi özgürlüğüne kavuşturmaları gerekir. İşte bununla size öğüt verilmektedir. Allah, yaptıklarınızdan haberdardır.</w:t>
      </w:r>
    </w:p>
    <w:p w:rsidR="00A84A82" w:rsidRPr="009A30E5" w:rsidRDefault="00A84A82" w:rsidP="00A84A82">
      <w:pPr>
        <w:tabs>
          <w:tab w:val="left" w:pos="709"/>
        </w:tabs>
        <w:ind w:left="1418" w:right="1418"/>
        <w:jc w:val="both"/>
        <w:rPr>
          <w:rFonts w:asciiTheme="majorBidi" w:hAnsiTheme="majorBidi" w:cstheme="majorBidi"/>
          <w:bCs/>
          <w:sz w:val="24"/>
          <w:szCs w:val="24"/>
        </w:rPr>
      </w:pPr>
      <w:r w:rsidRPr="009A30E5">
        <w:rPr>
          <w:rFonts w:asciiTheme="majorBidi" w:hAnsiTheme="majorBidi" w:cstheme="majorBidi"/>
          <w:bCs/>
          <w:sz w:val="24"/>
          <w:szCs w:val="24"/>
        </w:rPr>
        <w:tab/>
        <w:t xml:space="preserve">Ancak buna imkan bulamayanlar (için de) birbirleriyle temas etmeden önce, kesintisiz iki ay oruç (yüklenmiştir); buna güç yetiremeyenler altmış yoksulu doyursun. Bu (kolaylık), Allah'a ve O'nun Resûlü’ne iman etmeniz dolayısıyladır.” </w:t>
      </w:r>
    </w:p>
    <w:p w:rsidR="00A84A82" w:rsidRPr="009A30E5" w:rsidRDefault="00A84A82" w:rsidP="00A84A82">
      <w:pPr>
        <w:tabs>
          <w:tab w:val="left" w:pos="709"/>
        </w:tabs>
        <w:ind w:left="1418" w:right="1418"/>
        <w:jc w:val="both"/>
        <w:rPr>
          <w:rFonts w:asciiTheme="majorBidi" w:hAnsiTheme="majorBidi" w:cstheme="majorBidi"/>
          <w:bCs/>
          <w:sz w:val="24"/>
          <w:szCs w:val="24"/>
        </w:rPr>
      </w:pPr>
      <w:r w:rsidRPr="009A30E5">
        <w:rPr>
          <w:rFonts w:asciiTheme="majorBidi" w:hAnsiTheme="majorBidi" w:cstheme="majorBidi"/>
          <w:bCs/>
          <w:sz w:val="24"/>
          <w:szCs w:val="24"/>
        </w:rPr>
        <w:tab/>
        <w:t>Buna göre zıhâr keffâreti şu şekildedir:</w:t>
      </w:r>
    </w:p>
    <w:p w:rsidR="00A84A82" w:rsidRPr="009A30E5" w:rsidRDefault="00A84A82" w:rsidP="00A84A82">
      <w:pPr>
        <w:pStyle w:val="ListeParagraf"/>
        <w:numPr>
          <w:ilvl w:val="0"/>
          <w:numId w:val="18"/>
        </w:numPr>
        <w:tabs>
          <w:tab w:val="left" w:pos="709"/>
        </w:tabs>
        <w:spacing w:after="0"/>
        <w:ind w:left="1418" w:right="1418"/>
        <w:jc w:val="both"/>
        <w:rPr>
          <w:rFonts w:asciiTheme="majorBidi" w:hAnsiTheme="majorBidi" w:cstheme="majorBidi"/>
          <w:sz w:val="24"/>
          <w:szCs w:val="24"/>
        </w:rPr>
      </w:pPr>
      <w:r w:rsidRPr="009A30E5">
        <w:rPr>
          <w:rFonts w:asciiTheme="majorBidi" w:hAnsiTheme="majorBidi" w:cstheme="majorBidi"/>
          <w:sz w:val="24"/>
          <w:szCs w:val="24"/>
        </w:rPr>
        <w:t>Bir köle azâd etmek</w:t>
      </w:r>
    </w:p>
    <w:p w:rsidR="00A84A82" w:rsidRPr="009A30E5" w:rsidRDefault="00A84A82" w:rsidP="00A84A82">
      <w:pPr>
        <w:pStyle w:val="ListeParagraf"/>
        <w:numPr>
          <w:ilvl w:val="0"/>
          <w:numId w:val="18"/>
        </w:numPr>
        <w:tabs>
          <w:tab w:val="left" w:pos="709"/>
        </w:tabs>
        <w:spacing w:after="0"/>
        <w:ind w:left="1418" w:right="1418"/>
        <w:jc w:val="both"/>
        <w:rPr>
          <w:rFonts w:asciiTheme="majorBidi" w:hAnsiTheme="majorBidi" w:cstheme="majorBidi"/>
          <w:sz w:val="24"/>
          <w:szCs w:val="24"/>
        </w:rPr>
      </w:pPr>
      <w:r w:rsidRPr="009A30E5">
        <w:rPr>
          <w:rFonts w:asciiTheme="majorBidi" w:hAnsiTheme="majorBidi" w:cstheme="majorBidi"/>
          <w:sz w:val="24"/>
          <w:szCs w:val="24"/>
        </w:rPr>
        <w:t>Köle azâd etmeye gücü ve imkanı olmayanların iki ay aralıksız oruç tutmaları</w:t>
      </w:r>
    </w:p>
    <w:p w:rsidR="00A84A82" w:rsidRPr="009A30E5" w:rsidRDefault="00A84A82" w:rsidP="00A84A82">
      <w:pPr>
        <w:pStyle w:val="ListeParagraf"/>
        <w:numPr>
          <w:ilvl w:val="0"/>
          <w:numId w:val="18"/>
        </w:numPr>
        <w:tabs>
          <w:tab w:val="left" w:pos="709"/>
        </w:tabs>
        <w:spacing w:after="0"/>
        <w:ind w:left="1418" w:right="1418"/>
        <w:jc w:val="both"/>
        <w:rPr>
          <w:rFonts w:asciiTheme="majorBidi" w:hAnsiTheme="majorBidi" w:cstheme="majorBidi"/>
          <w:sz w:val="24"/>
          <w:szCs w:val="24"/>
        </w:rPr>
      </w:pPr>
      <w:r w:rsidRPr="009A30E5">
        <w:rPr>
          <w:rFonts w:asciiTheme="majorBidi" w:hAnsiTheme="majorBidi" w:cstheme="majorBidi"/>
          <w:sz w:val="24"/>
          <w:szCs w:val="24"/>
        </w:rPr>
        <w:t>Oruç tutmaya gücü yetmeyenlerin altmış yoksulu bir günlük doyurması.</w:t>
      </w:r>
    </w:p>
    <w:p w:rsidR="00A84A82" w:rsidRPr="009A30E5" w:rsidRDefault="00A84A82" w:rsidP="00A84A82">
      <w:pPr>
        <w:tabs>
          <w:tab w:val="left" w:pos="709"/>
        </w:tabs>
        <w:ind w:left="1418" w:right="1418"/>
        <w:jc w:val="both"/>
        <w:rPr>
          <w:rFonts w:asciiTheme="majorBidi" w:hAnsiTheme="majorBidi" w:cstheme="majorBidi"/>
          <w:sz w:val="24"/>
          <w:szCs w:val="24"/>
        </w:rPr>
      </w:pPr>
      <w:r w:rsidRPr="009A30E5">
        <w:rPr>
          <w:rFonts w:asciiTheme="majorBidi" w:hAnsiTheme="majorBidi" w:cstheme="majorBidi"/>
          <w:sz w:val="24"/>
          <w:szCs w:val="24"/>
        </w:rPr>
        <w:tab/>
        <w:t xml:space="preserve">Ayetten de anlaşıldığı gibi, zıhâr keffâreti, zıhârda bulunduktan sonra aradaki muvakkat haramlık kaldırılmak istendiğinde gerekli olur. Bir kimse zıhârda bulunduktan sonra </w:t>
      </w:r>
      <w:r w:rsidRPr="009A30E5">
        <w:rPr>
          <w:rFonts w:asciiTheme="majorBidi" w:hAnsiTheme="majorBidi" w:cstheme="majorBidi"/>
          <w:sz w:val="24"/>
          <w:szCs w:val="24"/>
        </w:rPr>
        <w:lastRenderedPageBreak/>
        <w:t>eşi ile tekrar birlikte olmayı istemeyip onu boşamak isterse cumhura göre zıhâr keffaretini yerine getirmesi gerekmez. Ancak boşadıktan sonra iddet dönemindeyken ric’at ederse yeniden cinsel birliktelik kurabilmek için keffareti yerine getirmesi gerekir.</w:t>
      </w:r>
    </w:p>
    <w:p w:rsidR="00A84A82" w:rsidRPr="009A30E5" w:rsidRDefault="00A84A82" w:rsidP="00A84A82">
      <w:pPr>
        <w:tabs>
          <w:tab w:val="left" w:pos="709"/>
        </w:tabs>
        <w:ind w:left="1418" w:right="1418"/>
        <w:jc w:val="both"/>
        <w:rPr>
          <w:rFonts w:asciiTheme="majorBidi" w:hAnsiTheme="majorBidi" w:cstheme="majorBidi"/>
          <w:sz w:val="24"/>
          <w:szCs w:val="24"/>
        </w:rPr>
      </w:pPr>
      <w:r w:rsidRPr="009A30E5">
        <w:rPr>
          <w:rFonts w:asciiTheme="majorBidi" w:hAnsiTheme="majorBidi" w:cstheme="majorBidi"/>
          <w:sz w:val="24"/>
          <w:szCs w:val="24"/>
        </w:rPr>
        <w:tab/>
        <w:t>Hanefîlere göre kişi anne yerine “teyze” gibi evlenilmesi haram olan kadınlardan herhangi birini zikrettiğinde de zıhâr gerçekleşir. Cumhura göre ise zıhâr sadece annenin zikredilmesi halinde gerçekleşir. Ancak bir kimse eşine annesine duyduğu saygı kadar saygı duyduğunu “sen, annem gibisin” şeklinde bir sözle ifade etse bu zıhâr sayılmaz.</w:t>
      </w:r>
    </w:p>
    <w:p w:rsidR="00A84A82" w:rsidRPr="009A30E5" w:rsidRDefault="00A84A82" w:rsidP="00A84A82">
      <w:pPr>
        <w:tabs>
          <w:tab w:val="left" w:pos="709"/>
        </w:tabs>
        <w:ind w:left="1418" w:right="1418"/>
        <w:jc w:val="both"/>
        <w:rPr>
          <w:rFonts w:asciiTheme="majorBidi" w:hAnsiTheme="majorBidi" w:cstheme="majorBidi"/>
          <w:sz w:val="24"/>
          <w:szCs w:val="24"/>
        </w:rPr>
      </w:pPr>
      <w:r w:rsidRPr="009A30E5">
        <w:rPr>
          <w:rFonts w:asciiTheme="majorBidi" w:hAnsiTheme="majorBidi" w:cstheme="majorBidi"/>
          <w:sz w:val="24"/>
          <w:szCs w:val="24"/>
        </w:rPr>
        <w:tab/>
        <w:t>Cumhûra göre, zıhâr sadece bu ifadenin erkek tarafından kullanılması ile olur. Kadının benzeri bir ifade kullanması ile zıhar oluşmaz. Ancak Hanbelîlere göre kadının yaptığı zıhâr dikkate alınır. Kadının zıhârından sonra erkek kadın ile cinsel birliktelikte bulununca kadının zıhar keffaretini yerine getirmesi gerekir.</w:t>
      </w:r>
    </w:p>
    <w:p w:rsidR="00D93C16" w:rsidRPr="00A84A82" w:rsidRDefault="00A84A82" w:rsidP="00A84A82"/>
    <w:sectPr w:rsidR="00D93C16" w:rsidRPr="00A84A82" w:rsidSect="0053415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hybridMultilevel"/>
    <w:tmpl w:val="25E45D32"/>
    <w:lvl w:ilvl="0" w:tplc="FFFFFFFF">
      <w:start w:val="5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A"/>
    <w:multiLevelType w:val="hybridMultilevel"/>
    <w:tmpl w:val="519B500C"/>
    <w:lvl w:ilvl="0" w:tplc="FFFFFFFF">
      <w:start w:val="5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B"/>
    <w:multiLevelType w:val="hybridMultilevel"/>
    <w:tmpl w:val="431BD7B6"/>
    <w:lvl w:ilvl="0" w:tplc="FFFFFFFF">
      <w:start w:val="6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C"/>
    <w:multiLevelType w:val="hybridMultilevel"/>
    <w:tmpl w:val="25E45D32"/>
    <w:lvl w:ilvl="0" w:tplc="FFFFFFFF">
      <w:start w:val="5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D"/>
    <w:multiLevelType w:val="hybridMultilevel"/>
    <w:tmpl w:val="519B500C"/>
    <w:lvl w:ilvl="0" w:tplc="FFFFFFFF">
      <w:start w:val="6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E"/>
    <w:multiLevelType w:val="hybridMultilevel"/>
    <w:tmpl w:val="431BD7B6"/>
    <w:lvl w:ilvl="0" w:tplc="FFFFFFFF">
      <w:start w:val="7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1F"/>
    <w:multiLevelType w:val="hybridMultilevel"/>
    <w:tmpl w:val="1D4ED43A"/>
    <w:lvl w:ilvl="0" w:tplc="FFFFFFFF">
      <w:start w:val="3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20"/>
    <w:multiLevelType w:val="hybridMultilevel"/>
    <w:tmpl w:val="725A06FA"/>
    <w:lvl w:ilvl="0" w:tplc="FFFFFFFF">
      <w:start w:val="4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21"/>
    <w:multiLevelType w:val="hybridMultilevel"/>
    <w:tmpl w:val="2CD89A32"/>
    <w:lvl w:ilvl="0" w:tplc="FFFFFFFF">
      <w:start w:val="1"/>
      <w:numFmt w:val="bullet"/>
      <w:lvlText w:val="'"/>
      <w:lvlJc w:val="left"/>
    </w:lvl>
    <w:lvl w:ilvl="1" w:tplc="FFFFFFFF">
      <w:start w:val="1"/>
      <w:numFmt w:val="bullet"/>
      <w:lvlText w:val="&quot;"/>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22"/>
    <w:multiLevelType w:val="hybridMultilevel"/>
    <w:tmpl w:val="57E4CCAE"/>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23"/>
    <w:multiLevelType w:val="hybridMultilevel"/>
    <w:tmpl w:val="7A6D8D3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24"/>
    <w:multiLevelType w:val="hybridMultilevel"/>
    <w:tmpl w:val="4B588F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25"/>
    <w:multiLevelType w:val="hybridMultilevel"/>
    <w:tmpl w:val="542289EC"/>
    <w:lvl w:ilvl="0" w:tplc="FFFFFFFF">
      <w:start w:val="1"/>
      <w:numFmt w:val="bullet"/>
      <w:lvlText w:val="-"/>
      <w:lvlJc w:val="left"/>
    </w:lvl>
    <w:lvl w:ilvl="1" w:tplc="FFFFFFFF">
      <w:start w:val="1"/>
      <w:numFmt w:val="bullet"/>
      <w:lvlText w:val="_"/>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26"/>
    <w:multiLevelType w:val="hybridMultilevel"/>
    <w:tmpl w:val="6DE91B18"/>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27"/>
    <w:multiLevelType w:val="hybridMultilevel"/>
    <w:tmpl w:val="38437FDA"/>
    <w:lvl w:ilvl="0" w:tplc="FFFFFFFF">
      <w:start w:val="12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191B5B1F"/>
    <w:multiLevelType w:val="hybridMultilevel"/>
    <w:tmpl w:val="DF06699A"/>
    <w:lvl w:ilvl="0" w:tplc="C6E852D4">
      <w:start w:val="1"/>
      <w:numFmt w:val="lowerLetter"/>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16">
    <w:nsid w:val="618745F2"/>
    <w:multiLevelType w:val="hybridMultilevel"/>
    <w:tmpl w:val="CB621310"/>
    <w:lvl w:ilvl="0" w:tplc="A588039C">
      <w:start w:val="1"/>
      <w:numFmt w:val="bullet"/>
      <w:lvlText w:val="-"/>
      <w:lvlJc w:val="left"/>
      <w:pPr>
        <w:ind w:left="1068" w:hanging="360"/>
      </w:pPr>
      <w:rPr>
        <w:rFonts w:ascii="Calibri" w:eastAsiaTheme="minorHAnsi" w:hAnsi="Calibri" w:cs="Calibri"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7">
    <w:nsid w:val="64EF7234"/>
    <w:multiLevelType w:val="hybridMultilevel"/>
    <w:tmpl w:val="2294E9FA"/>
    <w:lvl w:ilvl="0" w:tplc="AD72A28A">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nsid w:val="6860779B"/>
    <w:multiLevelType w:val="hybridMultilevel"/>
    <w:tmpl w:val="12767D3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711D3469"/>
    <w:multiLevelType w:val="hybridMultilevel"/>
    <w:tmpl w:val="E4E4B768"/>
    <w:lvl w:ilvl="0" w:tplc="ACC8F208">
      <w:start w:val="1"/>
      <w:numFmt w:val="decimal"/>
      <w:lvlText w:val="%1."/>
      <w:lvlJc w:val="left"/>
      <w:pPr>
        <w:ind w:left="1776" w:hanging="360"/>
      </w:pPr>
      <w:rPr>
        <w:rFonts w:cs="Times New Roman" w:hint="default"/>
      </w:rPr>
    </w:lvl>
    <w:lvl w:ilvl="1" w:tplc="041F0019" w:tentative="1">
      <w:start w:val="1"/>
      <w:numFmt w:val="lowerLetter"/>
      <w:lvlText w:val="%2."/>
      <w:lvlJc w:val="left"/>
      <w:pPr>
        <w:ind w:left="2496" w:hanging="360"/>
      </w:pPr>
      <w:rPr>
        <w:rFonts w:cs="Times New Roman"/>
      </w:rPr>
    </w:lvl>
    <w:lvl w:ilvl="2" w:tplc="041F001B" w:tentative="1">
      <w:start w:val="1"/>
      <w:numFmt w:val="lowerRoman"/>
      <w:lvlText w:val="%3."/>
      <w:lvlJc w:val="right"/>
      <w:pPr>
        <w:ind w:left="3216" w:hanging="180"/>
      </w:pPr>
      <w:rPr>
        <w:rFonts w:cs="Times New Roman"/>
      </w:rPr>
    </w:lvl>
    <w:lvl w:ilvl="3" w:tplc="041F000F" w:tentative="1">
      <w:start w:val="1"/>
      <w:numFmt w:val="decimal"/>
      <w:lvlText w:val="%4."/>
      <w:lvlJc w:val="left"/>
      <w:pPr>
        <w:ind w:left="3936" w:hanging="360"/>
      </w:pPr>
      <w:rPr>
        <w:rFonts w:cs="Times New Roman"/>
      </w:rPr>
    </w:lvl>
    <w:lvl w:ilvl="4" w:tplc="041F0019" w:tentative="1">
      <w:start w:val="1"/>
      <w:numFmt w:val="lowerLetter"/>
      <w:lvlText w:val="%5."/>
      <w:lvlJc w:val="left"/>
      <w:pPr>
        <w:ind w:left="4656" w:hanging="360"/>
      </w:pPr>
      <w:rPr>
        <w:rFonts w:cs="Times New Roman"/>
      </w:rPr>
    </w:lvl>
    <w:lvl w:ilvl="5" w:tplc="041F001B" w:tentative="1">
      <w:start w:val="1"/>
      <w:numFmt w:val="lowerRoman"/>
      <w:lvlText w:val="%6."/>
      <w:lvlJc w:val="right"/>
      <w:pPr>
        <w:ind w:left="5376" w:hanging="180"/>
      </w:pPr>
      <w:rPr>
        <w:rFonts w:cs="Times New Roman"/>
      </w:rPr>
    </w:lvl>
    <w:lvl w:ilvl="6" w:tplc="041F000F" w:tentative="1">
      <w:start w:val="1"/>
      <w:numFmt w:val="decimal"/>
      <w:lvlText w:val="%7."/>
      <w:lvlJc w:val="left"/>
      <w:pPr>
        <w:ind w:left="6096" w:hanging="360"/>
      </w:pPr>
      <w:rPr>
        <w:rFonts w:cs="Times New Roman"/>
      </w:rPr>
    </w:lvl>
    <w:lvl w:ilvl="7" w:tplc="041F0019" w:tentative="1">
      <w:start w:val="1"/>
      <w:numFmt w:val="lowerLetter"/>
      <w:lvlText w:val="%8."/>
      <w:lvlJc w:val="left"/>
      <w:pPr>
        <w:ind w:left="6816" w:hanging="360"/>
      </w:pPr>
      <w:rPr>
        <w:rFonts w:cs="Times New Roman"/>
      </w:rPr>
    </w:lvl>
    <w:lvl w:ilvl="8" w:tplc="041F001B" w:tentative="1">
      <w:start w:val="1"/>
      <w:numFmt w:val="lowerRoman"/>
      <w:lvlText w:val="%9."/>
      <w:lvlJc w:val="right"/>
      <w:pPr>
        <w:ind w:left="7536" w:hanging="180"/>
      </w:pPr>
      <w:rPr>
        <w:rFonts w:cs="Times New Roman"/>
      </w:rPr>
    </w:lvl>
  </w:abstractNum>
  <w:num w:numId="1">
    <w:abstractNumId w:val="6"/>
  </w:num>
  <w:num w:numId="2">
    <w:abstractNumId w:val="7"/>
  </w:num>
  <w:num w:numId="3">
    <w:abstractNumId w:val="8"/>
  </w:num>
  <w:num w:numId="4">
    <w:abstractNumId w:val="9"/>
  </w:num>
  <w:num w:numId="5">
    <w:abstractNumId w:val="10"/>
  </w:num>
  <w:num w:numId="6">
    <w:abstractNumId w:val="11"/>
  </w:num>
  <w:num w:numId="7">
    <w:abstractNumId w:val="12"/>
  </w:num>
  <w:num w:numId="8">
    <w:abstractNumId w:val="13"/>
  </w:num>
  <w:num w:numId="9">
    <w:abstractNumId w:val="14"/>
  </w:num>
  <w:num w:numId="10">
    <w:abstractNumId w:val="3"/>
  </w:num>
  <w:num w:numId="11">
    <w:abstractNumId w:val="4"/>
  </w:num>
  <w:num w:numId="12">
    <w:abstractNumId w:val="5"/>
  </w:num>
  <w:num w:numId="13">
    <w:abstractNumId w:val="0"/>
  </w:num>
  <w:num w:numId="14">
    <w:abstractNumId w:val="1"/>
  </w:num>
  <w:num w:numId="15">
    <w:abstractNumId w:val="2"/>
  </w:num>
  <w:num w:numId="16">
    <w:abstractNumId w:val="19"/>
  </w:num>
  <w:num w:numId="17">
    <w:abstractNumId w:val="15"/>
  </w:num>
  <w:num w:numId="18">
    <w:abstractNumId w:val="16"/>
  </w:num>
  <w:num w:numId="19">
    <w:abstractNumId w:val="18"/>
  </w:num>
  <w:num w:numId="2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3455AF"/>
    <w:rsid w:val="003455AF"/>
    <w:rsid w:val="00354863"/>
    <w:rsid w:val="00402397"/>
    <w:rsid w:val="00534153"/>
    <w:rsid w:val="00563EF3"/>
    <w:rsid w:val="00680C6B"/>
    <w:rsid w:val="00A03A00"/>
    <w:rsid w:val="00A81D18"/>
    <w:rsid w:val="00A84A82"/>
    <w:rsid w:val="00BF13F9"/>
    <w:rsid w:val="00C04648"/>
    <w:rsid w:val="00C20B80"/>
    <w:rsid w:val="00CB305E"/>
    <w:rsid w:val="00F712BF"/>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Bidi" w:eastAsiaTheme="minorHAnsi" w:hAnsiTheme="majorBidi" w:cstheme="majorBidi"/>
        <w:sz w:val="24"/>
        <w:szCs w:val="24"/>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5AF"/>
    <w:pPr>
      <w:spacing w:after="0" w:line="240" w:lineRule="auto"/>
    </w:pPr>
    <w:rPr>
      <w:rFonts w:ascii="Calibri" w:eastAsia="Calibri" w:hAnsi="Calibri" w:cs="Arial"/>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81D18"/>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955</Words>
  <Characters>5447</Characters>
  <Application>Microsoft Office Word</Application>
  <DocSecurity>0</DocSecurity>
  <Lines>45</Lines>
  <Paragraphs>12</Paragraphs>
  <ScaleCrop>false</ScaleCrop>
  <Company/>
  <LinksUpToDate>false</LinksUpToDate>
  <CharactersWithSpaces>6390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Nermin</dc:creator>
  <cp:keywords/>
  <dc:description/>
  <cp:lastModifiedBy>Nermin</cp:lastModifiedBy>
  <cp:revision>6</cp:revision>
  <dcterms:created xsi:type="dcterms:W3CDTF">2020-07-17T16:19:00Z</dcterms:created>
  <dcterms:modified xsi:type="dcterms:W3CDTF">2020-07-17T21:23:00Z</dcterms:modified>
</cp:coreProperties>
</file>