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D6" w:rsidRPr="005A3563"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Mâl kelimesinin kökeni konusunda dilbilimciler farklı iki görüş ileri sürmüşlerdir. Bunlardan ilki mâl kelimesinin “meyl” kökünden geldiği şeklindedir. Buna göre mâl, insanın elde etmeye ve sahip olmaya meyl ettiği bir şey olmasından dolayı bu şekilde isimlendirilmiştir. Diğer yaklaşım ise mâl kelimesinin aslında mürekkeb yani birden fazla kelimeden oluşan bir kelime olduğu şeklindedir. Bu yaklaşıma göre mâl kelimesinin aslı “</w:t>
      </w:r>
      <w:r w:rsidRPr="005A3563">
        <w:rPr>
          <w:rFonts w:asciiTheme="majorBidi" w:hAnsiTheme="majorBidi" w:cstheme="majorBidi"/>
          <w:i/>
          <w:iCs/>
          <w:sz w:val="24"/>
          <w:szCs w:val="24"/>
        </w:rPr>
        <w:t>mâ lî</w:t>
      </w:r>
      <w:r w:rsidRPr="005A3563">
        <w:rPr>
          <w:rFonts w:asciiTheme="majorBidi" w:hAnsiTheme="majorBidi" w:cstheme="majorBidi"/>
          <w:sz w:val="24"/>
          <w:szCs w:val="24"/>
        </w:rPr>
        <w:t>” dir. Buradaki “</w:t>
      </w:r>
      <w:r w:rsidRPr="005A3563">
        <w:rPr>
          <w:rFonts w:asciiTheme="majorBidi" w:hAnsiTheme="majorBidi" w:cstheme="majorBidi"/>
          <w:i/>
          <w:iCs/>
          <w:sz w:val="24"/>
          <w:szCs w:val="24"/>
        </w:rPr>
        <w:t>mâ</w:t>
      </w:r>
      <w:r>
        <w:rPr>
          <w:rFonts w:asciiTheme="majorBidi" w:hAnsiTheme="majorBidi" w:cstheme="majorBidi"/>
          <w:sz w:val="24"/>
          <w:szCs w:val="24"/>
        </w:rPr>
        <w:t>” ismi mevsû</w:t>
      </w:r>
      <w:r w:rsidRPr="005A3563">
        <w:rPr>
          <w:rFonts w:asciiTheme="majorBidi" w:hAnsiTheme="majorBidi" w:cstheme="majorBidi"/>
          <w:sz w:val="24"/>
          <w:szCs w:val="24"/>
        </w:rPr>
        <w:t>l olup “şey</w:t>
      </w:r>
      <w:r>
        <w:rPr>
          <w:rFonts w:asciiTheme="majorBidi" w:hAnsiTheme="majorBidi" w:cstheme="majorBidi"/>
          <w:sz w:val="24"/>
          <w:szCs w:val="24"/>
        </w:rPr>
        <w:t>”</w:t>
      </w:r>
      <w:r w:rsidRPr="005A3563">
        <w:rPr>
          <w:rFonts w:asciiTheme="majorBidi" w:hAnsiTheme="majorBidi" w:cstheme="majorBidi"/>
          <w:sz w:val="24"/>
          <w:szCs w:val="24"/>
        </w:rPr>
        <w:t xml:space="preserve"> anlamına gelmektedir. “</w:t>
      </w:r>
      <w:r w:rsidRPr="005A3563">
        <w:rPr>
          <w:rFonts w:asciiTheme="majorBidi" w:hAnsiTheme="majorBidi" w:cstheme="majorBidi"/>
          <w:i/>
          <w:iCs/>
          <w:sz w:val="24"/>
          <w:szCs w:val="24"/>
        </w:rPr>
        <w:t>lî</w:t>
      </w:r>
      <w:r w:rsidRPr="005A3563">
        <w:rPr>
          <w:rFonts w:asciiTheme="majorBidi" w:hAnsiTheme="majorBidi" w:cstheme="majorBidi"/>
          <w:sz w:val="24"/>
          <w:szCs w:val="24"/>
        </w:rPr>
        <w:t xml:space="preserve">” ise </w:t>
      </w:r>
      <w:r w:rsidRPr="005A3563">
        <w:rPr>
          <w:rFonts w:asciiTheme="majorBidi" w:hAnsiTheme="majorBidi" w:cstheme="majorBidi"/>
          <w:i/>
          <w:iCs/>
          <w:sz w:val="24"/>
          <w:szCs w:val="24"/>
        </w:rPr>
        <w:t>câru mecrûr</w:t>
      </w:r>
      <w:r w:rsidRPr="005A3563">
        <w:rPr>
          <w:rFonts w:asciiTheme="majorBidi" w:hAnsiTheme="majorBidi" w:cstheme="majorBidi"/>
          <w:sz w:val="24"/>
          <w:szCs w:val="24"/>
        </w:rPr>
        <w:t xml:space="preserve"> olup “bana ait olan” anlamına gelmektedir. Buna göre bir bütün olarak kelimenin anlamı “bana ait olan şey” şeklindedir. Sözlük yazarlardan bir kısmının “mal” maddesinde kelimeyi tanımlamak yerine “mâl ne olduğu bilinen bir şeydir” diyerek herhangi bir tanımlama yapmadıklarını görmekteyi</w:t>
      </w:r>
      <w:r>
        <w:rPr>
          <w:rFonts w:asciiTheme="majorBidi" w:hAnsiTheme="majorBidi" w:cstheme="majorBidi"/>
          <w:sz w:val="24"/>
          <w:szCs w:val="24"/>
        </w:rPr>
        <w:t>z (ör: Razî, Muhtaru’s-Sıhâh, “m</w:t>
      </w:r>
      <w:r w:rsidRPr="005A3563">
        <w:rPr>
          <w:rFonts w:asciiTheme="majorBidi" w:hAnsiTheme="majorBidi" w:cstheme="majorBidi"/>
          <w:sz w:val="24"/>
          <w:szCs w:val="24"/>
        </w:rPr>
        <w:t xml:space="preserve">al” md. XI/635.). Bununla birlikte malın lügavî tanımı konusunda farklı yaklaşımlar olduğu görülmektedir. Örneğin Kurtubî, Arapların her şeye mal ismini vermediklerini sadece elbise ve eşya gibi şeyleri mal diye isimlendirdiklerini söylemektedir. Buna delil olarak Ebû Hureyre’nin şu ifadesini göstermektedir: “Allah rasulü ile savaşa çıktık ganimet olarak altın ve gümüş elde edemedik. Sadece elbise ve savaş malzemesi gibi mallar elde ettik”. İbnü’l-Esîr ise bunun tam aksine, malın aslında altın ve gümüş için kullanıldığını fakat sonradan her türlü ayna (ayn: fiziki varlığı olan şey) mal dendiğini söylemektedir. Yine sözlük yazarlarından Firuzâbâdi ise “sahip olunan her şeye mal denir” diyerek çok geniş bir tarif yapmıştır. </w:t>
      </w:r>
    </w:p>
    <w:p w:rsidR="004D78D6"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 Bir terim olarak İslam Borçlar Hukukunda malın tarifi konusunda iki farklı yaklaşım olduğu görülmektedir. Bu yaklaşımlardan biri Hanefîlere diğeri ise Hanefîler dışında kalan fakîhlere aittir. Hanefîler malı tanımlarken sadece maddî/fiziksel niteliği olan şeyleri göz önünde bulundurmuşlardır. Örneğin Hanefî mezhebinin mâl tarifi esas alınarak yapılan mâl tarifi Mecellede şu şekilde geçmektedir: “Tab’-ı insânî mâil olup da vak-i hacet için iddihâr olunabilen şeydir ki menkule ve gayr-ı menkûle şamil olur.” Bu tanımı günümüz Türkçesi ile şu şekilde ifade et</w:t>
      </w:r>
      <w:r>
        <w:rPr>
          <w:rFonts w:asciiTheme="majorBidi" w:hAnsiTheme="majorBidi" w:cstheme="majorBidi"/>
          <w:sz w:val="24"/>
          <w:szCs w:val="24"/>
        </w:rPr>
        <w:t>mek mümkündür: “İnsan doğasının</w:t>
      </w:r>
      <w:r w:rsidRPr="005A3563">
        <w:rPr>
          <w:rFonts w:asciiTheme="majorBidi" w:hAnsiTheme="majorBidi" w:cstheme="majorBidi"/>
          <w:sz w:val="24"/>
          <w:szCs w:val="24"/>
        </w:rPr>
        <w:t xml:space="preserve"> meylettiği ve ihtiyaç vakti için saklanması/biriktirilmesi mümkün olan şeye mal denir. Mal hem taşınabilen hem de taşınmaz malları kapsar.” Yine Hanefîler tarafından benimsenen bir tanım ise şu şekildedir: “İnsan tabiatının meyl ettiği şeydir ki hakkında bezl ve men’ carî olur.” “Hakkında bezl ve men’ carî olur” ifadesinden maksat şudur: Malı elde etmek için insanlar bir bedel öderler (bezl), aynı şekilde insanlar kendilerine ait olan bir malı korurlar ve başkalarını bedelsiz olarak bu malı almaktan men ederler.</w:t>
      </w:r>
    </w:p>
    <w:p w:rsidR="004D78D6" w:rsidRPr="005A3563"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Bu tariflerden anlaşıldığına göre Hanefîler, bir şeyin mal olabilmesi için dört şart ileri sürmüşlerdir.</w:t>
      </w:r>
    </w:p>
    <w:p w:rsidR="004D78D6" w:rsidRPr="005A3563" w:rsidRDefault="004D78D6" w:rsidP="004D78D6">
      <w:pPr>
        <w:pStyle w:val="ListeParagraf"/>
        <w:widowControl/>
        <w:numPr>
          <w:ilvl w:val="0"/>
          <w:numId w:val="10"/>
        </w:numPr>
        <w:autoSpaceDE/>
        <w:autoSpaceDN/>
        <w:spacing w:before="0" w:line="276" w:lineRule="auto"/>
        <w:ind w:left="1418" w:right="1418"/>
        <w:contextualSpacing/>
        <w:jc w:val="both"/>
        <w:rPr>
          <w:rFonts w:asciiTheme="majorBidi" w:hAnsiTheme="majorBidi" w:cstheme="majorBidi"/>
          <w:sz w:val="24"/>
          <w:szCs w:val="24"/>
        </w:rPr>
      </w:pPr>
      <w:r w:rsidRPr="005A3563">
        <w:rPr>
          <w:rFonts w:asciiTheme="majorBidi" w:hAnsiTheme="majorBidi" w:cstheme="majorBidi"/>
          <w:sz w:val="24"/>
          <w:szCs w:val="24"/>
        </w:rPr>
        <w:t xml:space="preserve">Hiyâzet imkanı: Hiyâzet, bir şeyin fiziksel kontrol edilebilmesi anlamına gelmektedir. Buna göre manevi ya da soyut bir varlığı </w:t>
      </w:r>
      <w:r w:rsidRPr="005A3563">
        <w:rPr>
          <w:rFonts w:asciiTheme="majorBidi" w:hAnsiTheme="majorBidi" w:cstheme="majorBidi"/>
          <w:sz w:val="24"/>
          <w:szCs w:val="24"/>
        </w:rPr>
        <w:lastRenderedPageBreak/>
        <w:t>ya da değeri olan şeyler mal kapsamına girmemektedir. Buna göre menfaatler mal niteliği taşımaz.</w:t>
      </w:r>
    </w:p>
    <w:p w:rsidR="004D78D6" w:rsidRPr="005A3563" w:rsidRDefault="004D78D6" w:rsidP="004D78D6">
      <w:pPr>
        <w:pStyle w:val="ListeParagraf"/>
        <w:widowControl/>
        <w:numPr>
          <w:ilvl w:val="0"/>
          <w:numId w:val="10"/>
        </w:numPr>
        <w:autoSpaceDE/>
        <w:autoSpaceDN/>
        <w:spacing w:before="0" w:line="276" w:lineRule="auto"/>
        <w:ind w:left="1418" w:right="1418"/>
        <w:contextualSpacing/>
        <w:jc w:val="both"/>
        <w:rPr>
          <w:rFonts w:asciiTheme="majorBidi" w:hAnsiTheme="majorBidi" w:cstheme="majorBidi"/>
          <w:sz w:val="24"/>
          <w:szCs w:val="24"/>
        </w:rPr>
      </w:pPr>
      <w:r w:rsidRPr="005A3563">
        <w:rPr>
          <w:rFonts w:asciiTheme="majorBidi" w:hAnsiTheme="majorBidi" w:cstheme="majorBidi"/>
          <w:sz w:val="24"/>
          <w:szCs w:val="24"/>
        </w:rPr>
        <w:t xml:space="preserve">Temevvül: Bir nesnenin mal olabilmesi için insanların tamamı ya da bir kısmı tarafından mal kabul edilmesi ve sahiplenilmesi gerekmektedir.   </w:t>
      </w:r>
    </w:p>
    <w:p w:rsidR="004D78D6" w:rsidRDefault="004D78D6" w:rsidP="004D78D6">
      <w:pPr>
        <w:pStyle w:val="ListeParagraf"/>
        <w:widowControl/>
        <w:numPr>
          <w:ilvl w:val="0"/>
          <w:numId w:val="10"/>
        </w:numPr>
        <w:autoSpaceDE/>
        <w:autoSpaceDN/>
        <w:spacing w:before="0" w:line="276" w:lineRule="auto"/>
        <w:ind w:left="1418" w:right="1418"/>
        <w:contextualSpacing/>
        <w:jc w:val="both"/>
        <w:rPr>
          <w:rFonts w:asciiTheme="majorBidi" w:hAnsiTheme="majorBidi" w:cstheme="majorBidi"/>
          <w:sz w:val="24"/>
          <w:szCs w:val="24"/>
        </w:rPr>
      </w:pPr>
      <w:r w:rsidRPr="005A3563">
        <w:rPr>
          <w:rFonts w:asciiTheme="majorBidi" w:hAnsiTheme="majorBidi" w:cstheme="majorBidi"/>
          <w:sz w:val="24"/>
          <w:szCs w:val="24"/>
        </w:rPr>
        <w:t xml:space="preserve">Mütekavvim olması: Mütekavvim kelime olarak “bir kıymeti bulunan şey” anlamına gelmektedir. Bir kavram olarak ise, mütekavvim “dinen kullanılması mübah sayılan şey” anlamına gelmektedir. Buna göre bir nesnenin mal sayılabilmesi için, kullanılmasında ve alınıp satılmasında her hangi bir dini sakınca olmaması ve </w:t>
      </w:r>
      <w:r>
        <w:rPr>
          <w:rFonts w:asciiTheme="majorBidi" w:hAnsiTheme="majorBidi" w:cstheme="majorBidi"/>
          <w:sz w:val="24"/>
          <w:szCs w:val="24"/>
        </w:rPr>
        <w:t>akid</w:t>
      </w:r>
      <w:r w:rsidRPr="005A3563">
        <w:rPr>
          <w:rFonts w:asciiTheme="majorBidi" w:hAnsiTheme="majorBidi" w:cstheme="majorBidi"/>
          <w:sz w:val="24"/>
          <w:szCs w:val="24"/>
        </w:rPr>
        <w:t xml:space="preserve"> esnasında ihrâz altında bulunması gerekir. İhraz ise bir malın tasarrufta bulunmaya müsait olması anlamına gelmektedir. Buna göre denizdeki balığın ya da havadaki kuşun satılamayacağı ifade edilmiştir. Burada hiyazet ile ihraz arasında şöyle bir farklılık vardır. Hiyazet, bir nesnenin somut bir varlığa sahip olması ile mümkün olur. Buna göre bir menfaatin hiyazeti mümkün değildir. Örneğin araba bir maldır. Fakat ondan yararlanabilmek, fiziki bir varlığa sahip olmadığı için hiyazet altına alınabilecek nitelikte bir şey değildir. İhraz ise fiziki varlığı olan bir şeyin bir kimse tarafından elde edilmesi ve tasarrufa müsait hale getirilmesi ile mümkündür.</w:t>
      </w:r>
    </w:p>
    <w:p w:rsidR="004D78D6" w:rsidRPr="005A3563" w:rsidRDefault="004D78D6" w:rsidP="004D78D6">
      <w:pPr>
        <w:pStyle w:val="ListeParagraf"/>
        <w:widowControl/>
        <w:numPr>
          <w:ilvl w:val="0"/>
          <w:numId w:val="10"/>
        </w:numPr>
        <w:autoSpaceDE/>
        <w:autoSpaceDN/>
        <w:spacing w:before="0" w:line="276" w:lineRule="auto"/>
        <w:ind w:left="1418" w:right="1418"/>
        <w:contextualSpacing/>
        <w:jc w:val="both"/>
        <w:rPr>
          <w:rFonts w:asciiTheme="majorBidi" w:hAnsiTheme="majorBidi" w:cstheme="majorBidi"/>
          <w:sz w:val="24"/>
          <w:szCs w:val="24"/>
        </w:rPr>
      </w:pPr>
      <w:r w:rsidRPr="005A3563">
        <w:rPr>
          <w:rFonts w:asciiTheme="majorBidi" w:hAnsiTheme="majorBidi" w:cstheme="majorBidi"/>
          <w:sz w:val="24"/>
          <w:szCs w:val="24"/>
        </w:rPr>
        <w:t xml:space="preserve">İnsan tabiatının meyletmesi: Bir nesnenin mal sayılabilmesi için, insan doğası tarafından arzulanır nitelikte olması da Hanefilerin gerekli gördüğü şartlardandır. </w:t>
      </w:r>
    </w:p>
    <w:p w:rsidR="004D78D6" w:rsidRPr="005A3563"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Hanefîlerden farklı olarak Cumhûr, menfaatleri de mal kapsamında değerlendirmiştir. Şâfiî, Mâlikî ve Hanbelî mezheplerinin mal tariflerine baktığımızda bir şeyin mal olabilmesi için iki şartın arandığını görmekteyiz. Bu şartlar; söz konusu şeyin az ya da çok bir değeri</w:t>
      </w:r>
      <w:r>
        <w:rPr>
          <w:rFonts w:asciiTheme="majorBidi" w:hAnsiTheme="majorBidi" w:cstheme="majorBidi"/>
          <w:sz w:val="24"/>
          <w:szCs w:val="24"/>
        </w:rPr>
        <w:t>nin</w:t>
      </w:r>
      <w:r w:rsidRPr="005A3563">
        <w:rPr>
          <w:rFonts w:asciiTheme="majorBidi" w:hAnsiTheme="majorBidi" w:cstheme="majorBidi"/>
          <w:sz w:val="24"/>
          <w:szCs w:val="24"/>
        </w:rPr>
        <w:t xml:space="preserve"> olması ve mütekavvim olmasıdır.  Bir malın mütekavvim olması konusunda Hanefîler ile Cumhûr arasında bir yaklaşım farklılığı vardır. Hanefîlere göre alkollü içecekler ya da domuz eti gibi </w:t>
      </w:r>
      <w:r>
        <w:rPr>
          <w:rFonts w:asciiTheme="majorBidi" w:hAnsiTheme="majorBidi" w:cstheme="majorBidi"/>
          <w:sz w:val="24"/>
          <w:szCs w:val="24"/>
        </w:rPr>
        <w:t>tüketilmesi</w:t>
      </w:r>
      <w:r w:rsidRPr="005A3563">
        <w:rPr>
          <w:rFonts w:asciiTheme="majorBidi" w:hAnsiTheme="majorBidi" w:cstheme="majorBidi"/>
          <w:sz w:val="24"/>
          <w:szCs w:val="24"/>
        </w:rPr>
        <w:t xml:space="preserve"> ya da alımı satımı c</w:t>
      </w:r>
      <w:r>
        <w:rPr>
          <w:rFonts w:asciiTheme="majorBidi" w:hAnsiTheme="majorBidi" w:cstheme="majorBidi"/>
          <w:sz w:val="24"/>
          <w:szCs w:val="24"/>
        </w:rPr>
        <w:t>aiz olmayan şeyler, gayr-ı Müsli</w:t>
      </w:r>
      <w:r w:rsidRPr="005A3563">
        <w:rPr>
          <w:rFonts w:asciiTheme="majorBidi" w:hAnsiTheme="majorBidi" w:cstheme="majorBidi"/>
          <w:sz w:val="24"/>
          <w:szCs w:val="24"/>
        </w:rPr>
        <w:t>mler açısından mütekavvimdir. Bu tür malların telef edilmesi halinde tazminatı gerekir. Cumhur ise kime ait olursa olsun bunların mütekavvim mal olamayacağını söyleyerek, telef durumunda herhangi bir tazminatın gerekmeyeceğini kabul etmişlerdir.</w:t>
      </w:r>
    </w:p>
    <w:p w:rsidR="004D78D6" w:rsidRPr="005A3563" w:rsidRDefault="004D78D6" w:rsidP="004D78D6">
      <w:pPr>
        <w:pStyle w:val="ListeParagraf"/>
        <w:widowControl/>
        <w:numPr>
          <w:ilvl w:val="0"/>
          <w:numId w:val="11"/>
        </w:numPr>
        <w:autoSpaceDE/>
        <w:autoSpaceDN/>
        <w:spacing w:before="0" w:line="276" w:lineRule="auto"/>
        <w:ind w:left="1418" w:right="1418"/>
        <w:contextualSpacing/>
        <w:jc w:val="both"/>
        <w:rPr>
          <w:rFonts w:asciiTheme="majorBidi" w:hAnsiTheme="majorBidi" w:cstheme="majorBidi"/>
          <w:b/>
          <w:bCs/>
          <w:sz w:val="24"/>
          <w:szCs w:val="24"/>
        </w:rPr>
      </w:pPr>
      <w:r w:rsidRPr="005A3563">
        <w:rPr>
          <w:rFonts w:asciiTheme="majorBidi" w:hAnsiTheme="majorBidi" w:cstheme="majorBidi"/>
          <w:b/>
          <w:bCs/>
          <w:sz w:val="24"/>
          <w:szCs w:val="24"/>
        </w:rPr>
        <w:t>Malın Kısımları</w:t>
      </w:r>
    </w:p>
    <w:p w:rsidR="004D78D6" w:rsidRPr="005A3563"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Mal, fakihler tarafından farklı açılardan ele alınmış ve kısımlara ayrılmıştır. Bu çerçevede malın kısımlarını</w:t>
      </w:r>
      <w:r>
        <w:rPr>
          <w:rFonts w:asciiTheme="majorBidi" w:hAnsiTheme="majorBidi" w:cstheme="majorBidi"/>
          <w:sz w:val="24"/>
          <w:szCs w:val="24"/>
        </w:rPr>
        <w:t xml:space="preserve"> şu</w:t>
      </w:r>
      <w:r w:rsidRPr="005A3563">
        <w:rPr>
          <w:rFonts w:asciiTheme="majorBidi" w:hAnsiTheme="majorBidi" w:cstheme="majorBidi"/>
          <w:sz w:val="24"/>
          <w:szCs w:val="24"/>
        </w:rPr>
        <w:t xml:space="preserve"> şekilde açıklamak mümkündür: </w:t>
      </w:r>
    </w:p>
    <w:p w:rsidR="004D78D6" w:rsidRPr="005A3563" w:rsidRDefault="004D78D6" w:rsidP="004D78D6">
      <w:pPr>
        <w:pStyle w:val="ListeParagraf"/>
        <w:widowControl/>
        <w:numPr>
          <w:ilvl w:val="0"/>
          <w:numId w:val="12"/>
        </w:numPr>
        <w:autoSpaceDE/>
        <w:autoSpaceDN/>
        <w:spacing w:before="0" w:line="276" w:lineRule="auto"/>
        <w:ind w:left="1418" w:right="1418"/>
        <w:contextualSpacing/>
        <w:jc w:val="both"/>
        <w:rPr>
          <w:rFonts w:asciiTheme="majorBidi" w:hAnsiTheme="majorBidi" w:cstheme="majorBidi"/>
          <w:b/>
          <w:bCs/>
          <w:sz w:val="24"/>
          <w:szCs w:val="24"/>
        </w:rPr>
      </w:pPr>
      <w:r w:rsidRPr="005A3563">
        <w:rPr>
          <w:rFonts w:asciiTheme="majorBidi" w:hAnsiTheme="majorBidi" w:cstheme="majorBidi"/>
          <w:b/>
          <w:bCs/>
          <w:sz w:val="24"/>
          <w:szCs w:val="24"/>
        </w:rPr>
        <w:t xml:space="preserve">Şari’in Değerine İtibar Edip Etmemesi Bakımından Mallar </w:t>
      </w:r>
    </w:p>
    <w:p w:rsidR="004D78D6" w:rsidRPr="005A3563"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Yukarıda da belirtildiği üzere bu açıdan mallar iki kısma ayrılır. Şari’in değerine itibar ettiği, kullanılmasını ve alınıp satılmasını mübah kıldığı ve alış verişe uygun halde bulunan mallara mütekavvim mallar denilmektedir. Şari’in kullanımını </w:t>
      </w:r>
      <w:r w:rsidRPr="005A3563">
        <w:rPr>
          <w:rFonts w:asciiTheme="majorBidi" w:hAnsiTheme="majorBidi" w:cstheme="majorBidi"/>
          <w:sz w:val="24"/>
          <w:szCs w:val="24"/>
        </w:rPr>
        <w:lastRenderedPageBreak/>
        <w:t>ve alım satımını yasakladığı ya da alım satım esnasında ihraz altında bulunmayan mallar ise gayr-ı mütekavvimdir. Bir malın mütekavvim olması, telef edildiği takdirde t</w:t>
      </w:r>
      <w:r>
        <w:rPr>
          <w:rFonts w:asciiTheme="majorBidi" w:hAnsiTheme="majorBidi" w:cstheme="majorBidi"/>
          <w:sz w:val="24"/>
          <w:szCs w:val="24"/>
        </w:rPr>
        <w:t>azmin edilmesi sonucunu doğurur</w:t>
      </w:r>
      <w:r w:rsidRPr="005A3563">
        <w:rPr>
          <w:rFonts w:asciiTheme="majorBidi" w:hAnsiTheme="majorBidi" w:cstheme="majorBidi"/>
          <w:sz w:val="24"/>
          <w:szCs w:val="24"/>
        </w:rPr>
        <w:t xml:space="preserve">. Ayrıca akde konu olan malın mütekavvim olup olmaması o akdin sahih ya da batıl bir </w:t>
      </w:r>
      <w:r>
        <w:rPr>
          <w:rFonts w:asciiTheme="majorBidi" w:hAnsiTheme="majorBidi" w:cstheme="majorBidi"/>
          <w:sz w:val="24"/>
          <w:szCs w:val="24"/>
        </w:rPr>
        <w:t>akid</w:t>
      </w:r>
      <w:r w:rsidRPr="005A3563">
        <w:rPr>
          <w:rFonts w:asciiTheme="majorBidi" w:hAnsiTheme="majorBidi" w:cstheme="majorBidi"/>
          <w:sz w:val="24"/>
          <w:szCs w:val="24"/>
        </w:rPr>
        <w:t xml:space="preserve"> olmasını da doğrudan etkiler.</w:t>
      </w:r>
    </w:p>
    <w:p w:rsidR="004D78D6" w:rsidRPr="005A3563" w:rsidRDefault="004D78D6" w:rsidP="004D78D6">
      <w:pPr>
        <w:pStyle w:val="ListeParagraf"/>
        <w:widowControl/>
        <w:numPr>
          <w:ilvl w:val="0"/>
          <w:numId w:val="12"/>
        </w:numPr>
        <w:autoSpaceDE/>
        <w:autoSpaceDN/>
        <w:spacing w:before="0" w:line="276" w:lineRule="auto"/>
        <w:ind w:left="1418" w:right="1418"/>
        <w:contextualSpacing/>
        <w:jc w:val="both"/>
        <w:rPr>
          <w:rFonts w:asciiTheme="majorBidi" w:hAnsiTheme="majorBidi" w:cstheme="majorBidi"/>
          <w:b/>
          <w:bCs/>
          <w:sz w:val="24"/>
          <w:szCs w:val="24"/>
        </w:rPr>
      </w:pPr>
      <w:r w:rsidRPr="005A3563">
        <w:rPr>
          <w:rFonts w:asciiTheme="majorBidi" w:hAnsiTheme="majorBidi" w:cstheme="majorBidi"/>
          <w:b/>
          <w:bCs/>
          <w:sz w:val="24"/>
          <w:szCs w:val="24"/>
        </w:rPr>
        <w:t>Taşınılabilir Olup Olmaması Bakımından Mallar</w:t>
      </w:r>
    </w:p>
    <w:p w:rsidR="004D78D6" w:rsidRDefault="004D78D6" w:rsidP="004D78D6">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Bu açıdan mallar iki kısma ayrılmaktadır. Bunlardan ilki akârdır. Akâr, taşınması mümkün olmayan (gayr-ı menkûl) mallardır. Bu tanıma göre akâr, sadece arazi ve arsayı kapsamaktadır. Çünkü bunların dışındaki şeylerin taşınması mümkündür. İkincisi ise menkûl mallardır. Hayvan, araba, mobilya, kitap, maden gibi taşınabilen mallara menkûl mallar denir. Fakat bazı menkul mallar, ait oldukları gayr-ı menkulle birlikte sayılırlar. Örneğin bir arazi üzerinde bulunan ağaçlar, ya da bir arsa üzerindeki ev, evin kapıları, pencereleri gayr-ı menkule tabiiyetlerinden dolaylı gayr-ı menkul sayılır.</w:t>
      </w:r>
    </w:p>
    <w:p w:rsidR="00860CA7" w:rsidRPr="004D78D6" w:rsidRDefault="00860CA7" w:rsidP="004D78D6">
      <w:pPr>
        <w:rPr>
          <w:szCs w:val="24"/>
        </w:rPr>
      </w:pPr>
    </w:p>
    <w:sectPr w:rsidR="00860CA7" w:rsidRPr="004D78D6"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3B" w:rsidRDefault="00B73D3B" w:rsidP="00860CA7">
      <w:r>
        <w:separator/>
      </w:r>
    </w:p>
  </w:endnote>
  <w:endnote w:type="continuationSeparator" w:id="0">
    <w:p w:rsidR="00B73D3B" w:rsidRDefault="00B73D3B" w:rsidP="00860C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3B" w:rsidRDefault="00B73D3B" w:rsidP="00860CA7">
      <w:r>
        <w:separator/>
      </w:r>
    </w:p>
  </w:footnote>
  <w:footnote w:type="continuationSeparator" w:id="0">
    <w:p w:rsidR="00B73D3B" w:rsidRDefault="00B73D3B" w:rsidP="0086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514058">
    <w:pPr>
      <w:pStyle w:val="GvdeMetni"/>
      <w:spacing w:line="14" w:lineRule="auto"/>
      <w:rPr>
        <w:sz w:val="20"/>
      </w:rPr>
    </w:pPr>
    <w:r w:rsidRPr="00514058">
      <w:pict>
        <v:shapetype id="_x0000_t202" coordsize="21600,21600" o:spt="202" path="m,l,21600r21600,l21600,xe">
          <v:stroke joinstyle="miter"/>
          <v:path gradientshapeok="t" o:connecttype="rect"/>
        </v:shapetype>
        <v:shape id="_x0000_s2051" type="#_x0000_t202" style="position:absolute;margin-left:218.3pt;margin-top:61.8pt;width:181.15pt;height:14.85pt;z-index:-251658752;mso-position-horizontal-relative:page;mso-position-vertical-relative:page" filled="f" stroked="f">
          <v:textbox style="mso-next-textbox:#_x0000_s2051" inset="0,0,0,0">
            <w:txbxContent>
              <w:p w:rsidR="00587DB9" w:rsidRDefault="00B73D3B">
                <w:pPr>
                  <w:pStyle w:val="GvdeMetni"/>
                  <w:spacing w:before="12"/>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628C895C"/>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333AB104"/>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721DA316"/>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43A858"/>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abstractNum w:abstractNumId="9">
    <w:nsid w:val="23871DF0"/>
    <w:multiLevelType w:val="hybridMultilevel"/>
    <w:tmpl w:val="3A88E5DE"/>
    <w:lvl w:ilvl="0" w:tplc="24D442E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D863338"/>
    <w:multiLevelType w:val="hybridMultilevel"/>
    <w:tmpl w:val="345AED10"/>
    <w:lvl w:ilvl="0" w:tplc="0F5C9048">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529616A3"/>
    <w:multiLevelType w:val="hybridMultilevel"/>
    <w:tmpl w:val="7AE890C4"/>
    <w:lvl w:ilvl="0" w:tplc="9A728F0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8"/>
  </w:num>
  <w:num w:numId="2">
    <w:abstractNumId w:val="4"/>
  </w:num>
  <w:num w:numId="3">
    <w:abstractNumId w:val="5"/>
  </w:num>
  <w:num w:numId="4">
    <w:abstractNumId w:val="6"/>
  </w:num>
  <w:num w:numId="5">
    <w:abstractNumId w:val="7"/>
  </w:num>
  <w:num w:numId="6">
    <w:abstractNumId w:val="0"/>
  </w:num>
  <w:num w:numId="7">
    <w:abstractNumId w:val="1"/>
  </w:num>
  <w:num w:numId="8">
    <w:abstractNumId w:val="2"/>
  </w:num>
  <w:num w:numId="9">
    <w:abstractNumId w:val="3"/>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860CA7"/>
    <w:rsid w:val="00354863"/>
    <w:rsid w:val="00402397"/>
    <w:rsid w:val="00451492"/>
    <w:rsid w:val="004D78D6"/>
    <w:rsid w:val="00514058"/>
    <w:rsid w:val="00534153"/>
    <w:rsid w:val="00622D06"/>
    <w:rsid w:val="006628B7"/>
    <w:rsid w:val="00676F05"/>
    <w:rsid w:val="00680C6B"/>
    <w:rsid w:val="00860CA7"/>
    <w:rsid w:val="009321D8"/>
    <w:rsid w:val="00AB1D73"/>
    <w:rsid w:val="00B73D3B"/>
    <w:rsid w:val="00CE33AD"/>
    <w:rsid w:val="00E2063E"/>
    <w:rsid w:val="00E35230"/>
    <w:rsid w:val="00E64F3E"/>
    <w:rsid w:val="00EE218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0CA7"/>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60CA7"/>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60CA7"/>
    <w:rPr>
      <w:sz w:val="23"/>
      <w:szCs w:val="23"/>
    </w:rPr>
  </w:style>
  <w:style w:type="character" w:customStyle="1" w:styleId="GvdeMetniChar">
    <w:name w:val="Gövde Metni Char"/>
    <w:basedOn w:val="VarsaylanParagrafYazTipi"/>
    <w:link w:val="GvdeMetni"/>
    <w:uiPriority w:val="1"/>
    <w:rsid w:val="00860CA7"/>
    <w:rPr>
      <w:rFonts w:ascii="Arial" w:eastAsia="Arial" w:hAnsi="Arial" w:cs="Arial"/>
      <w:sz w:val="23"/>
      <w:szCs w:val="23"/>
      <w:lang w:val="en-US"/>
    </w:rPr>
  </w:style>
  <w:style w:type="paragraph" w:customStyle="1" w:styleId="Heading1">
    <w:name w:val="Heading 1"/>
    <w:basedOn w:val="Normal"/>
    <w:uiPriority w:val="1"/>
    <w:qFormat/>
    <w:rsid w:val="00860CA7"/>
    <w:pPr>
      <w:spacing w:line="1067" w:lineRule="exact"/>
      <w:ind w:left="333"/>
      <w:outlineLvl w:val="1"/>
    </w:pPr>
    <w:rPr>
      <w:sz w:val="110"/>
      <w:szCs w:val="110"/>
    </w:rPr>
  </w:style>
  <w:style w:type="paragraph" w:customStyle="1" w:styleId="Heading2">
    <w:name w:val="Heading 2"/>
    <w:basedOn w:val="Normal"/>
    <w:uiPriority w:val="1"/>
    <w:qFormat/>
    <w:rsid w:val="00860CA7"/>
    <w:pPr>
      <w:spacing w:line="444" w:lineRule="exact"/>
      <w:ind w:left="1301" w:right="2251"/>
      <w:jc w:val="center"/>
      <w:outlineLvl w:val="2"/>
    </w:pPr>
    <w:rPr>
      <w:sz w:val="40"/>
      <w:szCs w:val="40"/>
    </w:rPr>
  </w:style>
  <w:style w:type="paragraph" w:customStyle="1" w:styleId="Heading3">
    <w:name w:val="Heading 3"/>
    <w:basedOn w:val="Normal"/>
    <w:uiPriority w:val="1"/>
    <w:qFormat/>
    <w:rsid w:val="00860CA7"/>
    <w:pPr>
      <w:spacing w:before="10"/>
      <w:outlineLvl w:val="3"/>
    </w:pPr>
    <w:rPr>
      <w:sz w:val="25"/>
      <w:szCs w:val="25"/>
    </w:rPr>
  </w:style>
  <w:style w:type="paragraph" w:customStyle="1" w:styleId="Heading4">
    <w:name w:val="Heading 4"/>
    <w:basedOn w:val="Normal"/>
    <w:uiPriority w:val="1"/>
    <w:qFormat/>
    <w:rsid w:val="00860CA7"/>
    <w:pPr>
      <w:ind w:left="105"/>
      <w:outlineLvl w:val="4"/>
    </w:pPr>
    <w:rPr>
      <w:sz w:val="24"/>
      <w:szCs w:val="24"/>
    </w:rPr>
  </w:style>
  <w:style w:type="paragraph" w:styleId="KonuBal">
    <w:name w:val="Title"/>
    <w:basedOn w:val="Normal"/>
    <w:link w:val="KonuBalChar"/>
    <w:uiPriority w:val="1"/>
    <w:qFormat/>
    <w:rsid w:val="00860CA7"/>
    <w:pPr>
      <w:spacing w:line="1287" w:lineRule="exact"/>
      <w:ind w:left="1471"/>
    </w:pPr>
    <w:rPr>
      <w:sz w:val="123"/>
      <w:szCs w:val="123"/>
    </w:rPr>
  </w:style>
  <w:style w:type="character" w:customStyle="1" w:styleId="KonuBalChar">
    <w:name w:val="Konu Başlığı Char"/>
    <w:basedOn w:val="VarsaylanParagrafYazTipi"/>
    <w:link w:val="KonuBal"/>
    <w:uiPriority w:val="1"/>
    <w:rsid w:val="00860CA7"/>
    <w:rPr>
      <w:rFonts w:ascii="Arial" w:eastAsia="Arial" w:hAnsi="Arial" w:cs="Arial"/>
      <w:sz w:val="123"/>
      <w:szCs w:val="123"/>
      <w:lang w:val="en-US"/>
    </w:rPr>
  </w:style>
  <w:style w:type="paragraph" w:styleId="ListeParagraf">
    <w:name w:val="List Paragraph"/>
    <w:basedOn w:val="Normal"/>
    <w:uiPriority w:val="34"/>
    <w:qFormat/>
    <w:rsid w:val="00860CA7"/>
    <w:pPr>
      <w:spacing w:before="191"/>
      <w:ind w:left="726" w:hanging="708"/>
    </w:pPr>
  </w:style>
  <w:style w:type="paragraph" w:customStyle="1" w:styleId="TableParagraph">
    <w:name w:val="Table Paragraph"/>
    <w:basedOn w:val="Normal"/>
    <w:uiPriority w:val="1"/>
    <w:qFormat/>
    <w:rsid w:val="00860CA7"/>
  </w:style>
  <w:style w:type="paragraph" w:styleId="BalonMetni">
    <w:name w:val="Balloon Text"/>
    <w:basedOn w:val="Normal"/>
    <w:link w:val="BalonMetniChar"/>
    <w:uiPriority w:val="99"/>
    <w:semiHidden/>
    <w:unhideWhenUsed/>
    <w:rsid w:val="00860CA7"/>
    <w:rPr>
      <w:rFonts w:ascii="Tahoma" w:hAnsi="Tahoma" w:cs="Tahoma"/>
      <w:sz w:val="16"/>
      <w:szCs w:val="16"/>
    </w:rPr>
  </w:style>
  <w:style w:type="character" w:customStyle="1" w:styleId="BalonMetniChar">
    <w:name w:val="Balon Metni Char"/>
    <w:basedOn w:val="VarsaylanParagrafYazTipi"/>
    <w:link w:val="BalonMetni"/>
    <w:uiPriority w:val="99"/>
    <w:semiHidden/>
    <w:rsid w:val="00860CA7"/>
    <w:rPr>
      <w:rFonts w:ascii="Tahoma" w:eastAsia="Arial" w:hAnsi="Tahoma" w:cs="Tahoma"/>
      <w:sz w:val="16"/>
      <w:szCs w:val="16"/>
      <w:lang w:val="en-US"/>
    </w:rPr>
  </w:style>
  <w:style w:type="paragraph" w:styleId="stbilgi">
    <w:name w:val="header"/>
    <w:basedOn w:val="Normal"/>
    <w:link w:val="stbilgiChar"/>
    <w:uiPriority w:val="99"/>
    <w:semiHidden/>
    <w:unhideWhenUsed/>
    <w:rsid w:val="00860CA7"/>
    <w:pPr>
      <w:tabs>
        <w:tab w:val="center" w:pos="4536"/>
        <w:tab w:val="right" w:pos="9072"/>
      </w:tabs>
    </w:pPr>
  </w:style>
  <w:style w:type="character" w:customStyle="1" w:styleId="stbilgiChar">
    <w:name w:val="Üstbilgi Char"/>
    <w:basedOn w:val="VarsaylanParagrafYazTipi"/>
    <w:link w:val="stbilgi"/>
    <w:uiPriority w:val="99"/>
    <w:semiHidden/>
    <w:rsid w:val="00860CA7"/>
    <w:rPr>
      <w:rFonts w:ascii="Arial" w:eastAsia="Arial" w:hAnsi="Arial" w:cs="Arial"/>
      <w:sz w:val="22"/>
      <w:szCs w:val="22"/>
      <w:lang w:val="en-US"/>
    </w:rPr>
  </w:style>
  <w:style w:type="paragraph" w:styleId="Altbilgi">
    <w:name w:val="footer"/>
    <w:basedOn w:val="Normal"/>
    <w:link w:val="AltbilgiChar"/>
    <w:uiPriority w:val="99"/>
    <w:semiHidden/>
    <w:unhideWhenUsed/>
    <w:rsid w:val="00860CA7"/>
    <w:pPr>
      <w:tabs>
        <w:tab w:val="center" w:pos="4536"/>
        <w:tab w:val="right" w:pos="9072"/>
      </w:tabs>
    </w:pPr>
  </w:style>
  <w:style w:type="character" w:customStyle="1" w:styleId="AltbilgiChar">
    <w:name w:val="Altbilgi Char"/>
    <w:basedOn w:val="VarsaylanParagrafYazTipi"/>
    <w:link w:val="Altbilgi"/>
    <w:uiPriority w:val="99"/>
    <w:semiHidden/>
    <w:rsid w:val="00860CA7"/>
    <w:rPr>
      <w:rFonts w:ascii="Arial" w:eastAsia="Arial" w:hAnsi="Arial" w:cs="Arial"/>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2020-07-17T15:58:00Z</dcterms:created>
  <dcterms:modified xsi:type="dcterms:W3CDTF">2020-07-17T21:42:00Z</dcterms:modified>
</cp:coreProperties>
</file>