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B2" w:rsidRDefault="007119B2" w:rsidP="007119B2">
      <w:pPr>
        <w:tabs>
          <w:tab w:val="left" w:pos="0"/>
          <w:tab w:val="left" w:pos="709"/>
          <w:tab w:val="left" w:pos="851"/>
          <w:tab w:val="left" w:pos="993"/>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İrâde bayanlarının geçerli olabilmesi için akde taraf olan kişilerin, bu irâde beyânında bulunmaya ehil olmaları gerekmektedir. Bir kimse, akit yapmaya ehil olabilmek için edâ ehliyetine sahip olmalıdır. Edâ ehliyeti, bir kimsenin kendi kavlî tasarrufu ile yani hukukî sonuçlar doğuran bir akit ile sorumluluk üstlenebilmesidir. Bu ehliyet, kişinin temyiz ve akl etme özelliklerine sahip olmasıyla tedrîcî olarak tamamlanır. Bir hüküm anlatıldığında genel olarak anlayabilen, kendisi için faydalı ya da zararlı olan şeyleri idrak edebilen bir kimsenin temyîz gücüne sahip olduğu kabul edilmektedir. Bu durumdayken kişinin edâ ehliyeti nâkıstır. Edâ ehliyeti, ancak kişinin bedenen ve aklen olgunlaşması ile tam olur.</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 xml:space="preserve">Temyîz, manevî bir özellik olduğundan tespit edilmesi zordur. Bu nedenle İslam hukukunda bu temyîz kabiliyetinin yedi yaşında oluştuğu kabul edilmektedir. Yedi yaş ve üstündeki kimseler mümeyyiz, bu sınırın altındakiler ise gayr-ı mümeyyiz kabul edilmektedir. Gayr-ı mümeyyiz olan bir kimsenin sözlü tasarrufları geçerli değildir. Bu nedenle lehine bile olsa herhangi bir mâli muamelede bulunması (örneğin kendisine yapılan hibeyi kabul etmesi) geçerli değildir. Ancak akde gerek duyulmaksızın oluşan hak ve sorumluluklar gayr-ı mümeyyiz için sabit olur. Örneğin miras, akde gerek duyulmaksızın intikal ettiğinden dolayı gayr-ı mümeyyizin kendisine bırakılan mirasa sahip olması meşrudur. Diğer taraftan, gayr-ı mümeyyize ait bir hayvan bir başkasının malına zarar verse, bu zarar o gayr-ı mümeyyiz kişinin malından tazmin edilir. </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sz w:val="24"/>
          <w:szCs w:val="24"/>
        </w:rPr>
      </w:pPr>
      <w:r w:rsidRPr="00766973">
        <w:rPr>
          <w:rFonts w:ascii="Times New Roman" w:hAnsi="Times New Roman" w:cs="Times New Roman"/>
          <w:sz w:val="24"/>
          <w:szCs w:val="24"/>
        </w:rPr>
        <w:tab/>
        <w:t>Mümeyyiz olduğu halde âklî ve bedenî olgunluğa ermemiş (âkil ve bâliğ olmamış) kimsenin edâ ehliyeti nakıstır. Bu kimsenin akitte bulunma yetkisi de nâkıstır. Nâkıs edâ ehliyetine sahip kimsenin tasarruflarını üç kısımda değerlendirmek mümkündür: Gayr-ı mümeyyizin, hibe ya da sadakayı kabul etmek gibi tamamen lehine olan sözlü tasarrufları velisinin icâzetine bağlı olmaksızın geçerlidir. Bu durumdaki bir kimsenin, teberru anlamı taşıyan karz, kefâlet, hibe gibi maddi olarak tamamen aleyhine olan tasarrufları ise velîsi icâzet verse bile geçersizdir. Nâkıs edâ ehliyetine sahip bir kimsenin, bey’, icâre gibi maddi olarak lehine ya da aleyhine olabilecek bir tasarrufta bulunması halinde ise bu tasarruf cumhûra göre sahihtir. Ancak bu tasarrufun hukukî sonuçlarının doğması velînin de icâzet vermesi ile mümkündür. Fakat, söz konusu tasarruf, ciddi bir aldanma ya da aldatma (gabn-ı fahiş) içeriyorsa velî icâzet verse bile geçersizdir. Örneğin bir mal değerinin çok altında bir fiyata satılmış ya da değerinin çok üstünde bir fiyata alınmış ise velînin icâzet vermesi bu alış verişi geçerli kılmaz. Edâ ehliyeti nâkıs olan bir kimse çok makul bir alışverişte bulunsa bile bu alışverişin geçerliliği velisinin icazetine bağlıdır. Böyle bir alışveriş yukarıda belirtilen birinci tür (tamamen lehte olan) tasarruflardan sayılmaz. Çünkü alışveriş (bey’) nitelik olarak genelde kara ve zarara ihtimalli olan bir akittir. Bu nedenle hüküm genel duruma göredir.</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sz w:val="24"/>
          <w:szCs w:val="24"/>
        </w:rPr>
        <w:lastRenderedPageBreak/>
        <w:tab/>
        <w:t>Bu noktada izin ile icâzet kavramları arasındaki farka da dikkat çekmek gerekmektedir. İzin, bir kimseye bir şey yapabilmesi için müsaade etmek anlamına gelmektedir. İcâzet ise bir kimsenin yapmış olduğu bir tasarrufa onay vermek ve o tasarrufu geçerli kılmak anlamına gelmektedir.  Bu çerçevede İslam hukukçuları arasında tartışılan konulardan biri de mümeyyiz çocuğa ticarî tasarruflarda bulunabilmesi için velîsinin izin verip veremeyeceğidir. İmâm Şâfiî’ye göre velî, velâyeti altında bulunan mümeyyiz çocuğa böyle bir izin veremez. Bu izne dayanarak yapılan akitler geçersizdir. Ancak cumhûra göre velî, mümeyyiz çocuğa kendi malında ticârî tasarruflarda bulunma izni verebilir. Şâfiînin bu konuda esas aldığı delil, Nisâ suresinin beşinci ayetindeki</w:t>
      </w:r>
      <w:r>
        <w:rPr>
          <w:rFonts w:ascii="Times New Roman" w:hAnsi="Times New Roman" w:cs="Times New Roman"/>
          <w:sz w:val="24"/>
          <w:szCs w:val="24"/>
        </w:rPr>
        <w:t xml:space="preserve">  </w:t>
      </w:r>
      <w:r w:rsidRPr="00766973">
        <w:rPr>
          <w:rFonts w:ascii="Traditional Arabic" w:hAnsi="Traditional Arabic" w:cs="Traditional Arabic"/>
          <w:color w:val="000000"/>
          <w:sz w:val="32"/>
          <w:szCs w:val="32"/>
          <w:rtl/>
        </w:rPr>
        <w:t>وَلاَ تُؤْتُواْ السُّفَهَاء أَمْوَالَكُم</w:t>
      </w:r>
      <w:r w:rsidRPr="00766973">
        <w:rPr>
          <w:rFonts w:ascii="Times New Roman" w:hAnsi="Times New Roman" w:cs="Times New Roman"/>
          <w:color w:val="000000"/>
          <w:sz w:val="40"/>
          <w:szCs w:val="40"/>
        </w:rPr>
        <w:t xml:space="preserve"> </w:t>
      </w:r>
      <w:r w:rsidRPr="00766973">
        <w:rPr>
          <w:rFonts w:ascii="Times New Roman" w:hAnsi="Times New Roman" w:cs="Times New Roman"/>
          <w:color w:val="000000"/>
          <w:sz w:val="24"/>
          <w:szCs w:val="24"/>
        </w:rPr>
        <w:t>(mallarınızı aklı ermezlere vermeyin) ifadesidir. Cumhur</w:t>
      </w:r>
      <w:r>
        <w:rPr>
          <w:rFonts w:ascii="Times New Roman" w:hAnsi="Times New Roman" w:cs="Times New Roman"/>
          <w:color w:val="000000"/>
          <w:sz w:val="24"/>
          <w:szCs w:val="24"/>
        </w:rPr>
        <w:t>un delili</w:t>
      </w:r>
      <w:r w:rsidRPr="00766973">
        <w:rPr>
          <w:rFonts w:ascii="Times New Roman" w:hAnsi="Times New Roman" w:cs="Times New Roman"/>
          <w:color w:val="000000"/>
          <w:sz w:val="24"/>
          <w:szCs w:val="24"/>
        </w:rPr>
        <w:t xml:space="preserve"> ise aynı surenin altıncı ayetidir:</w:t>
      </w:r>
    </w:p>
    <w:p w:rsidR="007119B2" w:rsidRPr="00766973" w:rsidRDefault="007119B2" w:rsidP="007119B2">
      <w:pPr>
        <w:tabs>
          <w:tab w:val="left" w:pos="0"/>
          <w:tab w:val="left" w:pos="709"/>
          <w:tab w:val="left" w:pos="851"/>
          <w:tab w:val="left" w:pos="993"/>
        </w:tabs>
        <w:bidi/>
        <w:ind w:left="1418" w:right="1418"/>
        <w:jc w:val="center"/>
        <w:rPr>
          <w:rFonts w:ascii="Traditional Arabic" w:hAnsi="Traditional Arabic" w:cs="Traditional Arabic"/>
          <w:color w:val="000000"/>
          <w:sz w:val="32"/>
          <w:szCs w:val="32"/>
        </w:rPr>
      </w:pPr>
      <w:r w:rsidRPr="00766973">
        <w:rPr>
          <w:rFonts w:ascii="Traditional Arabic" w:hAnsi="Traditional Arabic" w:cs="Traditional Arabic"/>
          <w:color w:val="000000"/>
          <w:sz w:val="32"/>
          <w:szCs w:val="32"/>
          <w:rtl/>
        </w:rPr>
        <w:t>وَابْتَلُواْ الْيَتَامَى حَتَّىَ إِذَا بَلَغُواْ النِّكَاحَ فَإِنْ آنَسْتُم مِّنْهُمْ رُشْدًا فَادْفَعُواْ إِلَيْهِمْ أَمْوَالَهُمْ</w:t>
      </w:r>
    </w:p>
    <w:p w:rsidR="007119B2" w:rsidRDefault="007119B2" w:rsidP="007119B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ab/>
        <w:t>(Evlenebilecek yaşa gelinceye kadar yetimleri sınayınız. Eğer onlarda akli bir olgunluk (rüşd) görürseniz mallarını kendilerine veriniz). Cumhur, Şâfiîler</w:t>
      </w:r>
      <w:r>
        <w:rPr>
          <w:rFonts w:ascii="Times New Roman" w:hAnsi="Times New Roman" w:cs="Times New Roman"/>
          <w:color w:val="000000"/>
          <w:sz w:val="24"/>
          <w:szCs w:val="24"/>
        </w:rPr>
        <w:t>in</w:t>
      </w:r>
      <w:r w:rsidRPr="00766973">
        <w:rPr>
          <w:rFonts w:ascii="Times New Roman" w:hAnsi="Times New Roman" w:cs="Times New Roman"/>
          <w:color w:val="000000"/>
          <w:sz w:val="24"/>
          <w:szCs w:val="24"/>
        </w:rPr>
        <w:t xml:space="preserve"> delil olarak getirdiği ayette “mallarını” değil “mallarınızı” ifadesinin yer aldığını söyleyerek bu ayetin bu konuda delil olamayacağını belirtmişlerdir.</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ab/>
        <w:t>Mümeyyiz çocuğa velisinin ticarî tasarrufta bulunma izni verebileceğini savunan fakihlerden imâm-ı A’zam, izin verilen mümeyyiz çocuğun (me’zûn) tasarrufunu gabn-ı fâhiş içerse bile geçerli saymıştır. İmâm Ebû Yûsuf ve İmâm Muhammed’e göre ise bu tasarruf geçersizdir.</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ab/>
        <w:t xml:space="preserve">Tam edâ ehliyeti, reşit bir şekilde bâliğ olmakla gerçekleşir. Buna göre edâ ehliyetinin tam olması iki unsur içermektedir. Bunlardan biri bülûğ diğeri ise rüşddür.  Bülûğ, dilde ermek ve ulaşmak anlamına gelmektedir. Ancak bir terim olarak bülûğ, bir kimsenin ergenlik dönemine ulaşması demektir. Ergenlik, çocukluk çağı ile yetişkinlik çağı arasındaki geçiş dönemidir. Ergenlik, bireyde çocuksu tutum ve davranışlarının yerini yetişkinlik tutum ve davranışlarının aldığı, cinsiyet yetilerinin kazanıldığı, bireyin erişkin rolüne psikolojik ve fizyolojik olarak hazırlandığı bir dönemdir. </w:t>
      </w:r>
    </w:p>
    <w:p w:rsidR="007119B2" w:rsidRPr="00766973" w:rsidRDefault="007119B2" w:rsidP="007119B2">
      <w:pPr>
        <w:tabs>
          <w:tab w:val="left" w:pos="0"/>
          <w:tab w:val="left" w:pos="709"/>
          <w:tab w:val="left" w:pos="851"/>
          <w:tab w:val="left" w:pos="993"/>
        </w:tabs>
        <w:ind w:left="1418" w:right="1418"/>
        <w:jc w:val="both"/>
        <w:rPr>
          <w:rFonts w:ascii="Times New Roman" w:hAnsi="Times New Roman" w:cs="Times New Roman"/>
          <w:color w:val="000000"/>
          <w:sz w:val="24"/>
          <w:szCs w:val="24"/>
        </w:rPr>
      </w:pPr>
      <w:r w:rsidRPr="00766973">
        <w:rPr>
          <w:rFonts w:ascii="Times New Roman" w:hAnsi="Times New Roman" w:cs="Times New Roman"/>
          <w:color w:val="000000"/>
          <w:sz w:val="24"/>
          <w:szCs w:val="24"/>
        </w:rPr>
        <w:tab/>
        <w:t xml:space="preserve">Bülûğ, iki şekilde anlaşılır. Bunlardan ilki, çocuğun cinsel açıdan yetişkinlerde görülen özellikleri göstermeye başlaması ile olur. Bu ise erkeklerde ihtilâm, kızlarda ise âdet görülmesi ile anlaşılır. Bu, bülûğun anlaşılmasının doğal yoludur. Bülûğun alametlerinden ihtilam en erken on iki yaşında görülür. Âdet ise en erken dokuz yaşında başlar. Dolayısıyla bu yaşları geçen çocuklar, belirtilen alametleri gördüklerini söylerler ise sözlerine itibar edilerek bâliğ oldukları kabul edilir. Bülûğun belirlenmesinin ikinci yolu ise “azami bülûğ yaşı”na </w:t>
      </w:r>
      <w:r w:rsidRPr="00766973">
        <w:rPr>
          <w:rFonts w:ascii="Times New Roman" w:hAnsi="Times New Roman" w:cs="Times New Roman"/>
          <w:color w:val="000000"/>
          <w:sz w:val="24"/>
          <w:szCs w:val="24"/>
        </w:rPr>
        <w:lastRenderedPageBreak/>
        <w:t xml:space="preserve">göre olur. Bu da şu şekilde yapılır: Asgari büluğ yaşılarını geçtikleri halde bülûğ alametlerini göstermeyen çocuklar azami bülûğ yaşına ulaşıncaya kadar bâliğ sayılmazlar. Ancak bu yaşa erdiklerinde ihtilâm ya da âdet </w:t>
      </w:r>
      <w:r>
        <w:rPr>
          <w:rFonts w:ascii="Times New Roman" w:hAnsi="Times New Roman" w:cs="Times New Roman"/>
          <w:color w:val="000000"/>
          <w:sz w:val="24"/>
          <w:szCs w:val="24"/>
        </w:rPr>
        <w:t>gibi belirtiler olmasa</w:t>
      </w:r>
      <w:r w:rsidRPr="00766973">
        <w:rPr>
          <w:rFonts w:ascii="Times New Roman" w:hAnsi="Times New Roman" w:cs="Times New Roman"/>
          <w:color w:val="000000"/>
          <w:sz w:val="24"/>
          <w:szCs w:val="24"/>
        </w:rPr>
        <w:t xml:space="preserve"> bile bu kimselerin bâliğ olduklarına hükmedilir. Azami bülûğ yaşı konusunda farklı görüşler vardır: Şâfiîler, Hanbelîler, Hanefîlerden İmam Ebû Yûsuf ve İmam Muhammed’e göre ister erkek olsun ister kız azamî bülûğ yaşı on beştir. Mâlikîler ise bu yaşı hem erkek hem de kız çocukları için on sekiz olarak takdir etmişlerdir. İmâm Ebû Hanîfe’nin bu konudaki meşhûr olan görüşü ise, azamî bülûğ yaşının erkekler için on sekiz; kızlar için ise on yedi olması şeklindedir. Ancak bu yaşların belirlenmesinde hicrî senenin esas alınması konusunda ittifak vardır. Çünkü dinî konularda hicrî yıl esas alınmaktadır.</w:t>
      </w:r>
    </w:p>
    <w:p w:rsidR="00D93C16" w:rsidRPr="007119B2" w:rsidRDefault="007119B2" w:rsidP="007119B2"/>
    <w:sectPr w:rsidR="00D93C16" w:rsidRPr="007119B2"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E6AFB66"/>
    <w:lvl w:ilvl="0" w:tplc="FFFFFFFF">
      <w:start w:val="3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25E45D32"/>
    <w:lvl w:ilvl="0" w:tplc="FFFFFFFF">
      <w:start w:val="4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519B500C"/>
    <w:lvl w:ilvl="0" w:tplc="FFFFFFFF">
      <w:start w:val="4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431BD7B6"/>
    <w:lvl w:ilvl="0" w:tplc="FFFFFFFF">
      <w:start w:val="5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6">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nsid w:val="3D0B1E7C"/>
    <w:multiLevelType w:val="hybridMultilevel"/>
    <w:tmpl w:val="7076C88A"/>
    <w:lvl w:ilvl="0" w:tplc="E03AD182">
      <w:start w:val="1"/>
      <w:numFmt w:val="lowerLetter"/>
      <w:lvlText w:val="%1."/>
      <w:lvlJc w:val="left"/>
      <w:pPr>
        <w:ind w:left="2138" w:hanging="360"/>
      </w:pPr>
      <w:rPr>
        <w:rFonts w:hint="default"/>
        <w:b/>
        <w:bCs/>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E54EA"/>
    <w:rsid w:val="00217F6C"/>
    <w:rsid w:val="00354863"/>
    <w:rsid w:val="00402397"/>
    <w:rsid w:val="00534153"/>
    <w:rsid w:val="0060278B"/>
    <w:rsid w:val="00615718"/>
    <w:rsid w:val="00680C6B"/>
    <w:rsid w:val="007119B2"/>
    <w:rsid w:val="009127D6"/>
    <w:rsid w:val="00974306"/>
    <w:rsid w:val="00AA1247"/>
    <w:rsid w:val="00AE54EA"/>
    <w:rsid w:val="00AF4567"/>
    <w:rsid w:val="00CE3B5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E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278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2020-07-17T16:24:00Z</dcterms:created>
  <dcterms:modified xsi:type="dcterms:W3CDTF">2020-07-17T21:48:00Z</dcterms:modified>
</cp:coreProperties>
</file>