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98B83" w14:textId="17818297" w:rsidR="00121945" w:rsidRPr="00841157" w:rsidRDefault="00121945" w:rsidP="0084115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841157">
        <w:rPr>
          <w:rFonts w:ascii="Bookman Old Style" w:hAnsi="Bookman Old Style"/>
          <w:b/>
          <w:bCs/>
          <w:sz w:val="24"/>
          <w:szCs w:val="24"/>
        </w:rPr>
        <w:t>Lu</w:t>
      </w:r>
      <w:r w:rsidR="007B0066">
        <w:rPr>
          <w:rFonts w:ascii="Bookman Old Style" w:hAnsi="Bookman Old Style"/>
          <w:b/>
          <w:bCs/>
          <w:sz w:val="24"/>
          <w:szCs w:val="24"/>
        </w:rPr>
        <w:t>k</w:t>
      </w:r>
      <w:r w:rsidRPr="00841157">
        <w:rPr>
          <w:rFonts w:ascii="Bookman Old Style" w:hAnsi="Bookman Old Style"/>
          <w:b/>
          <w:bCs/>
          <w:sz w:val="24"/>
          <w:szCs w:val="24"/>
        </w:rPr>
        <w:t>ian</w:t>
      </w:r>
      <w:r w:rsidR="00841157">
        <w:rPr>
          <w:rFonts w:ascii="Bookman Old Style" w:hAnsi="Bookman Old Style"/>
          <w:b/>
          <w:bCs/>
          <w:sz w:val="24"/>
          <w:szCs w:val="24"/>
        </w:rPr>
        <w:t>o</w:t>
      </w:r>
      <w:r w:rsidRPr="00841157">
        <w:rPr>
          <w:rFonts w:ascii="Bookman Old Style" w:hAnsi="Bookman Old Style"/>
          <w:b/>
          <w:bCs/>
          <w:sz w:val="24"/>
          <w:szCs w:val="24"/>
        </w:rPr>
        <w:t>s</w:t>
      </w:r>
      <w:proofErr w:type="spellEnd"/>
    </w:p>
    <w:p w14:paraId="7201173C" w14:textId="05869648" w:rsidR="00121945" w:rsidRPr="00841157" w:rsidRDefault="00121945" w:rsidP="0084115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41157">
        <w:rPr>
          <w:rFonts w:ascii="Bookman Old Style" w:hAnsi="Bookman Old Style"/>
          <w:b/>
          <w:bCs/>
          <w:sz w:val="24"/>
          <w:szCs w:val="24"/>
        </w:rPr>
        <w:t>Yaşamı ve Eserleri</w:t>
      </w:r>
    </w:p>
    <w:p w14:paraId="7A1A544A" w14:textId="4CA16815" w:rsidR="00841157" w:rsidRDefault="007B0066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Lukianos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 w:rsidR="00841157">
        <w:rPr>
          <w:rFonts w:ascii="Bookman Old Style" w:hAnsi="Bookman Old Style"/>
          <w:sz w:val="24"/>
          <w:szCs w:val="24"/>
        </w:rPr>
        <w:t>İS</w:t>
      </w:r>
      <w:r w:rsidR="00841157" w:rsidRPr="00841157">
        <w:rPr>
          <w:rFonts w:ascii="Bookman Old Style" w:hAnsi="Bookman Old Style"/>
          <w:sz w:val="24"/>
          <w:szCs w:val="24"/>
        </w:rPr>
        <w:t xml:space="preserve"> 2.</w:t>
      </w:r>
      <w:r w:rsidR="0084115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y</w:t>
      </w:r>
      <w:r w:rsidR="00841157">
        <w:rPr>
          <w:rFonts w:ascii="Bookman Old Style" w:hAnsi="Bookman Old Style"/>
          <w:sz w:val="24"/>
          <w:szCs w:val="24"/>
        </w:rPr>
        <w:t>üzyılın başlarında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B36D33">
        <w:rPr>
          <w:rFonts w:ascii="Bookman Old Style" w:hAnsi="Bookman Old Style"/>
          <w:sz w:val="24"/>
          <w:szCs w:val="24"/>
        </w:rPr>
        <w:t xml:space="preserve">Fırat’ın kıyısındaki, o dönem Roma lejyonu </w:t>
      </w:r>
      <w:proofErr w:type="gramStart"/>
      <w:r w:rsidR="00B36D33">
        <w:rPr>
          <w:rFonts w:ascii="Bookman Old Style" w:hAnsi="Bookman Old Style"/>
          <w:sz w:val="24"/>
          <w:szCs w:val="24"/>
        </w:rPr>
        <w:t>karargahı</w:t>
      </w:r>
      <w:proofErr w:type="gramEnd"/>
      <w:r w:rsidR="00B36D33">
        <w:rPr>
          <w:rFonts w:ascii="Bookman Old Style" w:hAnsi="Bookman Old Style"/>
          <w:sz w:val="24"/>
          <w:szCs w:val="24"/>
        </w:rPr>
        <w:t xml:space="preserve"> olan </w:t>
      </w:r>
      <w:proofErr w:type="spellStart"/>
      <w:r w:rsidR="00B36D33">
        <w:rPr>
          <w:rFonts w:ascii="Bookman Old Style" w:hAnsi="Bookman Old Style"/>
          <w:sz w:val="24"/>
          <w:szCs w:val="24"/>
        </w:rPr>
        <w:t>Samosata’da</w:t>
      </w:r>
      <w:proofErr w:type="spellEnd"/>
      <w:r w:rsidR="00B36D33">
        <w:rPr>
          <w:rFonts w:ascii="Bookman Old Style" w:hAnsi="Bookman Old Style"/>
          <w:sz w:val="24"/>
          <w:szCs w:val="24"/>
        </w:rPr>
        <w:t xml:space="preserve"> doğmuştur. </w:t>
      </w:r>
      <w:r w:rsidR="00841157">
        <w:rPr>
          <w:rFonts w:ascii="Bookman Old Style" w:hAnsi="Bookman Old Style"/>
          <w:sz w:val="24"/>
          <w:szCs w:val="24"/>
        </w:rPr>
        <w:t xml:space="preserve">Roma politik rejimine bir tepki olarak gelişen İkinci Sofistler hareketinin içinde yer almış olduğu bilinen </w:t>
      </w:r>
      <w:proofErr w:type="spellStart"/>
      <w:r w:rsidR="00841157">
        <w:rPr>
          <w:rFonts w:ascii="Bookman Old Style" w:hAnsi="Bookman Old Style"/>
          <w:sz w:val="24"/>
          <w:szCs w:val="24"/>
        </w:rPr>
        <w:t>Lu</w:t>
      </w:r>
      <w:r>
        <w:rPr>
          <w:rFonts w:ascii="Bookman Old Style" w:hAnsi="Bookman Old Style"/>
          <w:sz w:val="24"/>
          <w:szCs w:val="24"/>
        </w:rPr>
        <w:t>k</w:t>
      </w:r>
      <w:r w:rsidR="00841157">
        <w:rPr>
          <w:rFonts w:ascii="Bookman Old Style" w:hAnsi="Bookman Old Style"/>
          <w:sz w:val="24"/>
          <w:szCs w:val="24"/>
        </w:rPr>
        <w:t>ianos</w:t>
      </w:r>
      <w:proofErr w:type="spellEnd"/>
      <w:r w:rsidR="00841157">
        <w:rPr>
          <w:rFonts w:ascii="Bookman Old Style" w:hAnsi="Bookman Old Style"/>
          <w:sz w:val="24"/>
          <w:szCs w:val="24"/>
        </w:rPr>
        <w:t xml:space="preserve">, eserlerinde benimsediği akımın ana unsurlarını işlemiştir. Buna uygun olarak </w:t>
      </w:r>
      <w:proofErr w:type="spellStart"/>
      <w:r w:rsidR="00841157">
        <w:rPr>
          <w:rFonts w:ascii="Bookman Old Style" w:hAnsi="Bookman Old Style"/>
          <w:sz w:val="24"/>
          <w:szCs w:val="24"/>
        </w:rPr>
        <w:t>Lu</w:t>
      </w:r>
      <w:r>
        <w:rPr>
          <w:rFonts w:ascii="Bookman Old Style" w:hAnsi="Bookman Old Style"/>
          <w:sz w:val="24"/>
          <w:szCs w:val="24"/>
        </w:rPr>
        <w:t>k</w:t>
      </w:r>
      <w:r w:rsidR="00841157">
        <w:rPr>
          <w:rFonts w:ascii="Bookman Old Style" w:hAnsi="Bookman Old Style"/>
          <w:sz w:val="24"/>
          <w:szCs w:val="24"/>
        </w:rPr>
        <w:t>ianos’un</w:t>
      </w:r>
      <w:proofErr w:type="spellEnd"/>
      <w:r w:rsidR="00841157">
        <w:rPr>
          <w:rFonts w:ascii="Bookman Old Style" w:hAnsi="Bookman Old Style"/>
          <w:sz w:val="24"/>
          <w:szCs w:val="24"/>
        </w:rPr>
        <w:t xml:space="preserve"> eserlerinin hiciv yanı ağır basmaktadır ve </w:t>
      </w:r>
      <w:proofErr w:type="spellStart"/>
      <w:r w:rsidR="00841157">
        <w:rPr>
          <w:rFonts w:ascii="Bookman Old Style" w:hAnsi="Bookman Old Style"/>
          <w:sz w:val="24"/>
          <w:szCs w:val="24"/>
        </w:rPr>
        <w:t>Lucianus</w:t>
      </w:r>
      <w:proofErr w:type="spellEnd"/>
      <w:r w:rsidR="00841157">
        <w:rPr>
          <w:rFonts w:ascii="Bookman Old Style" w:hAnsi="Bookman Old Style"/>
          <w:sz w:val="24"/>
          <w:szCs w:val="24"/>
        </w:rPr>
        <w:t xml:space="preserve"> bu anlamda bir hiciv yazarı olarak ün salmıştır.</w:t>
      </w:r>
    </w:p>
    <w:p w14:paraId="1B8DBDD1" w14:textId="5287009A" w:rsidR="00F42DF3" w:rsidRDefault="007B0066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B0066">
        <w:rPr>
          <w:rFonts w:ascii="Bookman Old Style" w:hAnsi="Bookman Old Style"/>
          <w:sz w:val="24"/>
          <w:szCs w:val="24"/>
        </w:rPr>
        <w:t>Lukianos</w:t>
      </w:r>
      <w:r w:rsidR="00B36D33">
        <w:rPr>
          <w:rFonts w:ascii="Bookman Old Style" w:hAnsi="Bookman Old Style"/>
          <w:sz w:val="24"/>
          <w:szCs w:val="24"/>
        </w:rPr>
        <w:t>’un</w:t>
      </w:r>
      <w:proofErr w:type="spellEnd"/>
      <w:r w:rsidR="00B36D33">
        <w:rPr>
          <w:rFonts w:ascii="Bookman Old Style" w:hAnsi="Bookman Old Style"/>
          <w:sz w:val="24"/>
          <w:szCs w:val="24"/>
        </w:rPr>
        <w:t xml:space="preserve"> yaşamı hakkındaki bilgileri daha çok kendi yazmış olduğu yapıtlardan ve çok daha geç dönemde ondan bahseden yazarlardan elde etmekteyiz. Bilindiği kadarıyla, </w:t>
      </w:r>
      <w:proofErr w:type="spellStart"/>
      <w:r w:rsidR="00B36D33">
        <w:rPr>
          <w:rFonts w:ascii="Bookman Old Style" w:hAnsi="Bookman Old Style"/>
          <w:sz w:val="24"/>
          <w:szCs w:val="24"/>
        </w:rPr>
        <w:t>Lukianos’un</w:t>
      </w:r>
      <w:proofErr w:type="spellEnd"/>
      <w:r w:rsidR="00B36D33">
        <w:rPr>
          <w:rFonts w:ascii="Bookman Old Style" w:hAnsi="Bookman Old Style"/>
          <w:sz w:val="24"/>
          <w:szCs w:val="24"/>
        </w:rPr>
        <w:t xml:space="preserve"> çağdaşları, ilginçtir ki, ondan hiç bahsetmemişlerdir.</w:t>
      </w:r>
      <w:r w:rsidRPr="007B0066">
        <w:rPr>
          <w:rFonts w:ascii="Bookman Old Style" w:hAnsi="Bookman Old Style"/>
          <w:sz w:val="24"/>
          <w:szCs w:val="24"/>
        </w:rPr>
        <w:t xml:space="preserve"> </w:t>
      </w:r>
      <w:r w:rsidR="00B36D33">
        <w:rPr>
          <w:rFonts w:ascii="Bookman Old Style" w:hAnsi="Bookman Old Style"/>
          <w:sz w:val="24"/>
          <w:szCs w:val="24"/>
        </w:rPr>
        <w:t>Bilhassa</w:t>
      </w:r>
      <w:r w:rsidRPr="007B006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Geç Dönem yazarları tarafından yapılan yorumlara bakıldığında, </w:t>
      </w:r>
      <w:proofErr w:type="spellStart"/>
      <w:r w:rsidR="00B36D33">
        <w:rPr>
          <w:rFonts w:ascii="Bookman Old Style" w:hAnsi="Bookman Old Style"/>
          <w:sz w:val="24"/>
          <w:szCs w:val="24"/>
        </w:rPr>
        <w:t>Lukianos’un</w:t>
      </w:r>
      <w:proofErr w:type="spellEnd"/>
      <w:r>
        <w:rPr>
          <w:rFonts w:ascii="Bookman Old Style" w:hAnsi="Bookman Old Style"/>
          <w:sz w:val="24"/>
          <w:szCs w:val="24"/>
        </w:rPr>
        <w:t>,</w:t>
      </w:r>
      <w:r w:rsidRPr="007B006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“</w:t>
      </w:r>
      <w:r w:rsidRPr="007B0066">
        <w:rPr>
          <w:rFonts w:ascii="Bookman Old Style" w:hAnsi="Bookman Old Style"/>
          <w:sz w:val="24"/>
          <w:szCs w:val="24"/>
        </w:rPr>
        <w:t>döneminin toplumsal ve düşünsel yapısını ve bu yapıyı oluşturan sınıfları eleştirdiği ve bunu yaparken de şüpheci bir anlayışla başkalarınca pek sorgulanmayan alanları kendine hedef seçtiğ</w:t>
      </w:r>
      <w:r>
        <w:rPr>
          <w:rFonts w:ascii="Bookman Old Style" w:hAnsi="Bookman Old Style"/>
          <w:sz w:val="24"/>
          <w:szCs w:val="24"/>
        </w:rPr>
        <w:t>i (</w:t>
      </w:r>
      <w:r w:rsidR="0089220C">
        <w:rPr>
          <w:rFonts w:ascii="Bookman Old Style" w:hAnsi="Bookman Old Style"/>
          <w:sz w:val="24"/>
          <w:szCs w:val="24"/>
        </w:rPr>
        <w:t xml:space="preserve">E. </w:t>
      </w:r>
      <w:proofErr w:type="spellStart"/>
      <w:r>
        <w:rPr>
          <w:rFonts w:ascii="Bookman Old Style" w:hAnsi="Bookman Old Style"/>
          <w:sz w:val="24"/>
          <w:szCs w:val="24"/>
        </w:rPr>
        <w:t>Yalazi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Lukianos’un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Eserlerinde Toplumsal Hiciv</w:t>
      </w:r>
      <w:r>
        <w:rPr>
          <w:rFonts w:ascii="Bookman Old Style" w:hAnsi="Bookman Old Style"/>
          <w:sz w:val="24"/>
          <w:szCs w:val="24"/>
        </w:rPr>
        <w:t>, Yayımlanmamış Yüksek Lisans Tezi, 2007: 38)” söylenebilir.</w:t>
      </w:r>
      <w:r w:rsidR="00B36D33">
        <w:rPr>
          <w:rFonts w:ascii="Bookman Old Style" w:hAnsi="Bookman Old Style"/>
          <w:sz w:val="24"/>
          <w:szCs w:val="24"/>
        </w:rPr>
        <w:t xml:space="preserve"> Yaşamını Yunanistan, </w:t>
      </w:r>
      <w:proofErr w:type="spellStart"/>
      <w:r w:rsidR="00B36D33">
        <w:rPr>
          <w:rFonts w:ascii="Bookman Old Style" w:hAnsi="Bookman Old Style"/>
          <w:sz w:val="24"/>
          <w:szCs w:val="24"/>
        </w:rPr>
        <w:t>italya</w:t>
      </w:r>
      <w:proofErr w:type="spellEnd"/>
      <w:r w:rsidR="00B36D33">
        <w:rPr>
          <w:rFonts w:ascii="Bookman Old Style" w:hAnsi="Bookman Old Style"/>
          <w:sz w:val="24"/>
          <w:szCs w:val="24"/>
        </w:rPr>
        <w:t xml:space="preserve"> gibi bölgelere çeşitli yolculuklar yaparak geçirdikten sonra sonunda </w:t>
      </w:r>
      <w:r w:rsidR="00356078">
        <w:rPr>
          <w:rFonts w:ascii="Bookman Old Style" w:hAnsi="Bookman Old Style"/>
          <w:sz w:val="24"/>
          <w:szCs w:val="24"/>
        </w:rPr>
        <w:t>Atina’ya yerleşmiştir ve felsefi çalışmalara ağırlık vermiştir.</w:t>
      </w:r>
    </w:p>
    <w:p w14:paraId="3C5697C0" w14:textId="46064A02" w:rsidR="00B36D33" w:rsidRDefault="00B36D33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Lukianos’un</w:t>
      </w:r>
      <w:proofErr w:type="spellEnd"/>
      <w:r>
        <w:rPr>
          <w:rFonts w:ascii="Bookman Old Style" w:hAnsi="Bookman Old Style"/>
          <w:sz w:val="24"/>
          <w:szCs w:val="24"/>
        </w:rPr>
        <w:t>, Yunanca olarak ve düzyazı biçiminde kaleme aldığı, yetmişin üzerinde yapıtı olduğu bilinmektedir. Hiciv, mektup, felsefe</w:t>
      </w:r>
      <w:r w:rsidR="0089220C">
        <w:rPr>
          <w:rFonts w:ascii="Bookman Old Style" w:hAnsi="Bookman Old Style"/>
          <w:sz w:val="24"/>
          <w:szCs w:val="24"/>
        </w:rPr>
        <w:t xml:space="preserve">, diyalog </w:t>
      </w:r>
      <w:r>
        <w:rPr>
          <w:rFonts w:ascii="Bookman Old Style" w:hAnsi="Bookman Old Style"/>
          <w:sz w:val="24"/>
          <w:szCs w:val="24"/>
        </w:rPr>
        <w:t xml:space="preserve">gibi çok çeşitli konularda ve türlerde yapıtlar vermiştir. </w:t>
      </w:r>
    </w:p>
    <w:p w14:paraId="63C5A3BB" w14:textId="30272B4E" w:rsidR="00356078" w:rsidRDefault="00356078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9B5182A" w14:textId="0FCF9962" w:rsidR="00356078" w:rsidRPr="00356078" w:rsidRDefault="00356078" w:rsidP="007B0066">
      <w:pPr>
        <w:spacing w:line="36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56078">
        <w:rPr>
          <w:rFonts w:ascii="Bookman Old Style" w:hAnsi="Bookman Old Style"/>
          <w:b/>
          <w:bCs/>
          <w:sz w:val="24"/>
          <w:szCs w:val="24"/>
        </w:rPr>
        <w:t>Eserleri:</w:t>
      </w:r>
    </w:p>
    <w:p w14:paraId="2A3C0172" w14:textId="16E40DBE" w:rsidR="00356078" w:rsidRDefault="00356078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Phalaris</w:t>
      </w:r>
      <w:proofErr w:type="spellEnd"/>
    </w:p>
    <w:p w14:paraId="45EFE6B3" w14:textId="2628C6E5" w:rsidR="00356078" w:rsidRDefault="00356078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Hippias</w:t>
      </w:r>
      <w:proofErr w:type="spellEnd"/>
    </w:p>
    <w:p w14:paraId="05630328" w14:textId="504E257D" w:rsidR="00356078" w:rsidRDefault="00356078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Bacchus</w:t>
      </w:r>
      <w:proofErr w:type="spellEnd"/>
    </w:p>
    <w:p w14:paraId="610112C3" w14:textId="675F8018" w:rsidR="00356078" w:rsidRDefault="00356078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Hercules</w:t>
      </w:r>
      <w:proofErr w:type="spellEnd"/>
    </w:p>
    <w:p w14:paraId="55C1F7E0" w14:textId="56316241" w:rsidR="00356078" w:rsidRDefault="00356078" w:rsidP="007B00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Electrum</w:t>
      </w:r>
      <w:proofErr w:type="spellEnd"/>
    </w:p>
    <w:p w14:paraId="2E0ACE8D" w14:textId="560A9AD4" w:rsidR="00356078" w:rsidRDefault="0035607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Muscae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Encomium</w:t>
      </w:r>
      <w:proofErr w:type="spellEnd"/>
    </w:p>
    <w:p w14:paraId="6FE29858" w14:textId="1506285E" w:rsidR="00356078" w:rsidRDefault="0035607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Nigrinus</w:t>
      </w:r>
      <w:proofErr w:type="spellEnd"/>
    </w:p>
    <w:p w14:paraId="284768C7" w14:textId="798E084D" w:rsidR="0035607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Demonax</w:t>
      </w:r>
      <w:proofErr w:type="spellEnd"/>
    </w:p>
    <w:p w14:paraId="58E17492" w14:textId="077AF12F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>
        <w:rPr>
          <w:rFonts w:ascii="Bookman Old Style" w:hAnsi="Bookman Old Style"/>
          <w:sz w:val="24"/>
          <w:szCs w:val="24"/>
        </w:rPr>
        <w:t>Domo</w:t>
      </w:r>
      <w:proofErr w:type="spellEnd"/>
    </w:p>
    <w:p w14:paraId="128341AA" w14:textId="146093BF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Patriae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Encomium</w:t>
      </w:r>
      <w:proofErr w:type="spellEnd"/>
    </w:p>
    <w:p w14:paraId="5810B01F" w14:textId="77819EC9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Macrobii</w:t>
      </w:r>
      <w:proofErr w:type="spellEnd"/>
    </w:p>
    <w:p w14:paraId="42B58167" w14:textId="1E59F509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Verae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Historiae</w:t>
      </w:r>
      <w:proofErr w:type="spellEnd"/>
    </w:p>
    <w:p w14:paraId="7C1A1130" w14:textId="3675C45C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Calumniae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Temere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Credendum</w:t>
      </w:r>
      <w:proofErr w:type="spellEnd"/>
    </w:p>
    <w:p w14:paraId="5EFACFFE" w14:textId="2DC81191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Consonantium</w:t>
      </w:r>
      <w:proofErr w:type="spellEnd"/>
    </w:p>
    <w:p w14:paraId="6F56A9E9" w14:textId="47DDB0C0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Symposium</w:t>
      </w:r>
      <w:proofErr w:type="spellEnd"/>
    </w:p>
    <w:p w14:paraId="1ED28D6B" w14:textId="5DA94327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Soloecista</w:t>
      </w:r>
      <w:proofErr w:type="spellEnd"/>
    </w:p>
    <w:p w14:paraId="41821658" w14:textId="53A6812A" w:rsidR="00533888" w:rsidRDefault="00533888" w:rsidP="0035607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Cataplus</w:t>
      </w:r>
      <w:proofErr w:type="spellEnd"/>
    </w:p>
    <w:p w14:paraId="2BD28D90" w14:textId="4916BB2D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Jupiter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confutatus</w:t>
      </w:r>
      <w:proofErr w:type="spellEnd"/>
    </w:p>
    <w:p w14:paraId="478DA4AE" w14:textId="6BD53D82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Jupiter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Tragoedus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FF3791C" w14:textId="0E429CE1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Gallus</w:t>
      </w:r>
      <w:proofErr w:type="spellEnd"/>
    </w:p>
    <w:p w14:paraId="5A79EF1A" w14:textId="33AA432D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Prometheus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4EDEB35C" w14:textId="410EE0D1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Timon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5093B832" w14:textId="43E88D08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Charon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sive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Contemplantes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4E0E45F5" w14:textId="49B4D1A4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Vitarum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auctio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49EA225" w14:textId="08581ED4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Revivescentes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sive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Piscator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24BF2CA0" w14:textId="21BE8F72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Bis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accusatus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sive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Tribunalia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551FBF07" w14:textId="2691D105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533888">
        <w:rPr>
          <w:rFonts w:ascii="Bookman Old Style" w:hAnsi="Bookman Old Style"/>
          <w:sz w:val="24"/>
          <w:szCs w:val="24"/>
        </w:rPr>
        <w:t>Sacrificiis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DF065A1" w14:textId="20CC603C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Adversus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Indoctum</w:t>
      </w:r>
      <w:proofErr w:type="spellEnd"/>
    </w:p>
    <w:p w14:paraId="4A77B584" w14:textId="22246F80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Somnium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sive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Vita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Luciani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E57A757" w14:textId="77777777" w:rsid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lastRenderedPageBreak/>
        <w:t xml:space="preserve">De </w:t>
      </w:r>
      <w:proofErr w:type="spellStart"/>
      <w:r w:rsidRPr="00533888">
        <w:rPr>
          <w:rFonts w:ascii="Bookman Old Style" w:hAnsi="Bookman Old Style"/>
          <w:sz w:val="24"/>
          <w:szCs w:val="24"/>
        </w:rPr>
        <w:t>Parasito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45B56F5" w14:textId="53BB641C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Philopseudes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sive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Incredulus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2F23CFE5" w14:textId="2BE7DA29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Dearum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Iudicium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BEB4455" w14:textId="0908244A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533888">
        <w:rPr>
          <w:rFonts w:ascii="Bookman Old Style" w:hAnsi="Bookman Old Style"/>
          <w:sz w:val="24"/>
          <w:szCs w:val="24"/>
        </w:rPr>
        <w:t>Mercede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conductis</w:t>
      </w:r>
      <w:proofErr w:type="spellEnd"/>
    </w:p>
    <w:p w14:paraId="5BA936EF" w14:textId="715439D9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Anacharsis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5AD68A9" w14:textId="47F9D815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Necyomantia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6894DC35" w14:textId="0681086C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Asinus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1D0BBAA" w14:textId="5C8CD296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533888">
        <w:rPr>
          <w:rFonts w:ascii="Bookman Old Style" w:hAnsi="Bookman Old Style"/>
          <w:sz w:val="24"/>
          <w:szCs w:val="24"/>
        </w:rPr>
        <w:t>Luctu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2FBC3D81" w14:textId="5DF33BA3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Rhetorum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Praeceptor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6390420C" w14:textId="560137E7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>Alexander</w:t>
      </w:r>
      <w:r w:rsidRPr="00533888">
        <w:rPr>
          <w:rFonts w:ascii="Bookman Old Style" w:hAnsi="Bookman Old Style"/>
          <w:sz w:val="24"/>
          <w:szCs w:val="24"/>
        </w:rPr>
        <w:tab/>
      </w:r>
    </w:p>
    <w:p w14:paraId="3042AB70" w14:textId="07CA777B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Imagines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8B7C2CE" w14:textId="53180195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533888">
        <w:rPr>
          <w:rFonts w:ascii="Bookman Old Style" w:hAnsi="Bookman Old Style"/>
          <w:sz w:val="24"/>
          <w:szCs w:val="24"/>
        </w:rPr>
        <w:t>Syria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Dea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CB90785" w14:textId="6AACD8D8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533888">
        <w:rPr>
          <w:rFonts w:ascii="Bookman Old Style" w:hAnsi="Bookman Old Style"/>
          <w:sz w:val="24"/>
          <w:szCs w:val="24"/>
        </w:rPr>
        <w:t>Saltatione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1623303" w14:textId="4C5CA51D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Lexiphanes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F4BCEB0" w14:textId="27BA55E1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</w:t>
      </w:r>
      <w:r w:rsidRPr="00533888">
        <w:rPr>
          <w:rFonts w:ascii="Bookman Old Style" w:hAnsi="Bookman Old Style"/>
          <w:sz w:val="24"/>
          <w:szCs w:val="24"/>
        </w:rPr>
        <w:t>unuchus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A44EC30" w14:textId="061EEE52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>De Ast</w:t>
      </w:r>
      <w:proofErr w:type="spellStart"/>
      <w:r w:rsidRPr="00533888">
        <w:rPr>
          <w:rFonts w:ascii="Bookman Old Style" w:hAnsi="Bookman Old Style"/>
          <w:sz w:val="24"/>
          <w:szCs w:val="24"/>
        </w:rPr>
        <w:t>rologia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125B466" w14:textId="7D3358B8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Amores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E86610F" w14:textId="04CB6435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 xml:space="preserve">Pro </w:t>
      </w:r>
      <w:proofErr w:type="spellStart"/>
      <w:r w:rsidRPr="00533888">
        <w:rPr>
          <w:rFonts w:ascii="Bookman Old Style" w:hAnsi="Bookman Old Style"/>
          <w:sz w:val="24"/>
          <w:szCs w:val="24"/>
        </w:rPr>
        <w:t>Imaginibus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2446322D" w14:textId="1C1F258B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Pseudologista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3FFB064" w14:textId="5D45C2A2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Deorum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Concilium</w:t>
      </w:r>
      <w:proofErr w:type="spellEnd"/>
    </w:p>
    <w:p w14:paraId="731ECBD2" w14:textId="58489E5C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Tyrannicida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7F7E3786" w14:textId="1C6624C5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Abdicatus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28251E6B" w14:textId="7AECFAF2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Pr="00533888">
        <w:rPr>
          <w:rFonts w:ascii="Bookman Old Style" w:hAnsi="Bookman Old Style"/>
          <w:sz w:val="24"/>
          <w:szCs w:val="24"/>
        </w:rPr>
        <w:t>Morte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Peregrini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30CC9C3" w14:textId="05020AA7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Fugitivi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CA4FDFB" w14:textId="15DEAC6B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lastRenderedPageBreak/>
        <w:t>Toxaris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sive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Amicitia</w:t>
      </w:r>
      <w:proofErr w:type="spellEnd"/>
    </w:p>
    <w:p w14:paraId="30B04C3E" w14:textId="29C6E622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Demosthenis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Encomium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7669B9FE" w14:textId="7C6B7B2A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Quomodo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Historia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conscribenda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sit</w:t>
      </w:r>
      <w:r w:rsidRPr="00533888">
        <w:rPr>
          <w:rFonts w:ascii="Bookman Old Style" w:hAnsi="Bookman Old Style"/>
          <w:sz w:val="24"/>
          <w:szCs w:val="24"/>
        </w:rPr>
        <w:tab/>
      </w:r>
    </w:p>
    <w:p w14:paraId="51112C73" w14:textId="23C52A7B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Dipsades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AE31644" w14:textId="07A5CE82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Saturnalia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4D9E40E" w14:textId="7EEFF796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Herodotus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60EAD27" w14:textId="10C11339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Zeuxis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7C157041" w14:textId="42A6665E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33888">
        <w:rPr>
          <w:rFonts w:ascii="Bookman Old Style" w:hAnsi="Bookman Old Style"/>
          <w:sz w:val="24"/>
          <w:szCs w:val="24"/>
        </w:rPr>
        <w:t>Pro La</w:t>
      </w:r>
      <w:proofErr w:type="spellStart"/>
      <w:r w:rsidRPr="00533888">
        <w:rPr>
          <w:rFonts w:ascii="Bookman Old Style" w:hAnsi="Bookman Old Style"/>
          <w:sz w:val="24"/>
          <w:szCs w:val="24"/>
        </w:rPr>
        <w:t>psu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inter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salutandum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5D806B91" w14:textId="6C895549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Apologia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22AB808E" w14:textId="6A67A9D6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Harmonides</w:t>
      </w:r>
      <w:proofErr w:type="spellEnd"/>
    </w:p>
    <w:p w14:paraId="286F8A20" w14:textId="7A4CC2E1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Hesiodus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5A12AC7D" w14:textId="5961A144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Scytha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9702076" w14:textId="22564BF9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Podagra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7D9A1BAA" w14:textId="79014307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Hermotimus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C244FEE" w14:textId="35B58749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Prometheus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es in </w:t>
      </w:r>
      <w:proofErr w:type="spellStart"/>
      <w:r w:rsidRPr="00533888">
        <w:rPr>
          <w:rFonts w:ascii="Bookman Old Style" w:hAnsi="Bookman Old Style"/>
          <w:sz w:val="24"/>
          <w:szCs w:val="24"/>
        </w:rPr>
        <w:t>Verbis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81B2B03" w14:textId="03F5851C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Halcyon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54DEBDC" w14:textId="175F513E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Navigium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195DFB44" w14:textId="0398706E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Ocypus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457D16DA" w14:textId="5381297F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Cynicus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6AE2770B" w14:textId="4341D227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Dialogi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Mortuorum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CFDD6A3" w14:textId="1441EF0D" w:rsidR="0089220C" w:rsidRPr="00533888" w:rsidRDefault="00533888" w:rsidP="0089220C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Dialogi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Marini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011FE597" w14:textId="407C7334" w:rsidR="00533888" w:rsidRP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Dialogi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Deorum</w:t>
      </w:r>
      <w:proofErr w:type="spellEnd"/>
      <w:r w:rsidRPr="00533888">
        <w:rPr>
          <w:rFonts w:ascii="Bookman Old Style" w:hAnsi="Bookman Old Style"/>
          <w:sz w:val="24"/>
          <w:szCs w:val="24"/>
        </w:rPr>
        <w:tab/>
      </w:r>
    </w:p>
    <w:p w14:paraId="35B615F4" w14:textId="1AEBDDFA" w:rsidR="00533888" w:rsidRDefault="00533888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33888">
        <w:rPr>
          <w:rFonts w:ascii="Bookman Old Style" w:hAnsi="Bookman Old Style"/>
          <w:sz w:val="24"/>
          <w:szCs w:val="24"/>
        </w:rPr>
        <w:t>Dialogi</w:t>
      </w:r>
      <w:proofErr w:type="spellEnd"/>
      <w:r w:rsidRPr="005338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33888">
        <w:rPr>
          <w:rFonts w:ascii="Bookman Old Style" w:hAnsi="Bookman Old Style"/>
          <w:sz w:val="24"/>
          <w:szCs w:val="24"/>
        </w:rPr>
        <w:t>Meretricii</w:t>
      </w:r>
      <w:proofErr w:type="spellEnd"/>
    </w:p>
    <w:p w14:paraId="65AF86B3" w14:textId="77777777" w:rsidR="0089220C" w:rsidRDefault="0089220C" w:rsidP="005338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AE6188A" w14:textId="7CFD4428" w:rsidR="007B0066" w:rsidRPr="0089220C" w:rsidRDefault="0089220C" w:rsidP="0084115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9220C">
        <w:rPr>
          <w:rFonts w:ascii="Bookman Old Style" w:hAnsi="Bookman Old Style"/>
          <w:b/>
          <w:bCs/>
          <w:sz w:val="24"/>
          <w:szCs w:val="24"/>
        </w:rPr>
        <w:lastRenderedPageBreak/>
        <w:t>Kaynakça</w:t>
      </w:r>
    </w:p>
    <w:p w14:paraId="1B2CA613" w14:textId="57ED791D" w:rsidR="0089220C" w:rsidRDefault="0089220C" w:rsidP="0084115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9220C">
        <w:rPr>
          <w:rFonts w:ascii="Bookman Old Style" w:hAnsi="Bookman Old Style"/>
          <w:sz w:val="24"/>
          <w:szCs w:val="24"/>
        </w:rPr>
        <w:t xml:space="preserve">E. </w:t>
      </w:r>
      <w:proofErr w:type="spellStart"/>
      <w:r w:rsidRPr="0089220C">
        <w:rPr>
          <w:rFonts w:ascii="Bookman Old Style" w:hAnsi="Bookman Old Style"/>
          <w:sz w:val="24"/>
          <w:szCs w:val="24"/>
        </w:rPr>
        <w:t>Yalazi</w:t>
      </w:r>
      <w:proofErr w:type="spellEnd"/>
      <w:r w:rsidRPr="0089220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Lukianos’un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Eserlerinde Toplumsal Hiciv</w:t>
      </w:r>
      <w:r w:rsidRPr="0089220C">
        <w:rPr>
          <w:rFonts w:ascii="Bookman Old Style" w:hAnsi="Bookman Old Style"/>
          <w:sz w:val="24"/>
          <w:szCs w:val="24"/>
        </w:rPr>
        <w:t>, Yayımlanmamış Yüksek Lisans Tezi, 2007: 38</w:t>
      </w:r>
    </w:p>
    <w:p w14:paraId="4C4C3BD4" w14:textId="09F7146D" w:rsidR="0089220C" w:rsidRPr="00841157" w:rsidRDefault="0089220C" w:rsidP="0084115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9220C">
        <w:rPr>
          <w:rFonts w:ascii="Bookman Old Style" w:hAnsi="Bookman Old Style"/>
          <w:sz w:val="24"/>
          <w:szCs w:val="24"/>
        </w:rPr>
        <w:t>Lucian</w:t>
      </w:r>
      <w:proofErr w:type="spellEnd"/>
      <w:r>
        <w:rPr>
          <w:rFonts w:ascii="Bookman Old Style" w:hAnsi="Bookman Old Style"/>
          <w:sz w:val="24"/>
          <w:szCs w:val="24"/>
        </w:rPr>
        <w:t>,</w:t>
      </w:r>
      <w:r w:rsidRPr="0089220C">
        <w:rPr>
          <w:rFonts w:ascii="Bookman Old Style" w:hAnsi="Bookman Old Style"/>
          <w:sz w:val="24"/>
          <w:szCs w:val="24"/>
        </w:rPr>
        <w:t> 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Passing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of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Peregrinus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Runaways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Toxaris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or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Friendship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Dance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Lexiphanes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Eunuch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Astrology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Mistaken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Critic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Parliament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of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Gods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The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Tyrannicide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89220C">
        <w:rPr>
          <w:rFonts w:ascii="Bookman Old Style" w:hAnsi="Bookman Old Style"/>
          <w:i/>
          <w:iCs/>
          <w:sz w:val="24"/>
          <w:szCs w:val="24"/>
        </w:rPr>
        <w:t>Disowned</w:t>
      </w:r>
      <w:proofErr w:type="spellEnd"/>
      <w:r w:rsidRPr="0089220C">
        <w:rPr>
          <w:rFonts w:ascii="Bookman Old Style" w:hAnsi="Bookman Old Style"/>
          <w:i/>
          <w:iCs/>
          <w:sz w:val="24"/>
          <w:szCs w:val="24"/>
        </w:rPr>
        <w:t>. </w:t>
      </w:r>
      <w:proofErr w:type="spellStart"/>
      <w:r w:rsidRPr="0089220C">
        <w:rPr>
          <w:rFonts w:ascii="Bookman Old Style" w:hAnsi="Bookman Old Style"/>
          <w:sz w:val="24"/>
          <w:szCs w:val="24"/>
        </w:rPr>
        <w:t>Translated</w:t>
      </w:r>
      <w:proofErr w:type="spellEnd"/>
      <w:r w:rsidRPr="0089220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sz w:val="24"/>
          <w:szCs w:val="24"/>
        </w:rPr>
        <w:t>by</w:t>
      </w:r>
      <w:proofErr w:type="spellEnd"/>
      <w:r w:rsidRPr="0089220C">
        <w:rPr>
          <w:rFonts w:ascii="Bookman Old Style" w:hAnsi="Bookman Old Style"/>
          <w:sz w:val="24"/>
          <w:szCs w:val="24"/>
        </w:rPr>
        <w:t xml:space="preserve"> A. M. </w:t>
      </w:r>
      <w:proofErr w:type="spellStart"/>
      <w:r w:rsidRPr="0089220C">
        <w:rPr>
          <w:rFonts w:ascii="Bookman Old Style" w:hAnsi="Bookman Old Style"/>
          <w:sz w:val="24"/>
          <w:szCs w:val="24"/>
        </w:rPr>
        <w:t>Harmon</w:t>
      </w:r>
      <w:proofErr w:type="spellEnd"/>
      <w:r w:rsidRPr="0089220C">
        <w:rPr>
          <w:rFonts w:ascii="Bookman Old Style" w:hAnsi="Bookman Old Style"/>
          <w:sz w:val="24"/>
          <w:szCs w:val="24"/>
        </w:rPr>
        <w:t>. </w:t>
      </w:r>
      <w:proofErr w:type="spellStart"/>
      <w:r w:rsidRPr="0089220C">
        <w:rPr>
          <w:rFonts w:ascii="Bookman Old Style" w:hAnsi="Bookman Old Style"/>
          <w:sz w:val="24"/>
          <w:szCs w:val="24"/>
        </w:rPr>
        <w:t>Loeb</w:t>
      </w:r>
      <w:proofErr w:type="spellEnd"/>
      <w:r w:rsidRPr="0089220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sz w:val="24"/>
          <w:szCs w:val="24"/>
        </w:rPr>
        <w:t>Classical</w:t>
      </w:r>
      <w:proofErr w:type="spellEnd"/>
      <w:r w:rsidRPr="0089220C">
        <w:rPr>
          <w:rFonts w:ascii="Bookman Old Style" w:hAnsi="Bookman Old Style"/>
          <w:sz w:val="24"/>
          <w:szCs w:val="24"/>
        </w:rPr>
        <w:t xml:space="preserve"> Library 302. Cambridge, MA: Harvard </w:t>
      </w:r>
      <w:proofErr w:type="spellStart"/>
      <w:r w:rsidRPr="0089220C">
        <w:rPr>
          <w:rFonts w:ascii="Bookman Old Style" w:hAnsi="Bookman Old Style"/>
          <w:sz w:val="24"/>
          <w:szCs w:val="24"/>
        </w:rPr>
        <w:t>University</w:t>
      </w:r>
      <w:proofErr w:type="spellEnd"/>
      <w:r w:rsidRPr="0089220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9220C">
        <w:rPr>
          <w:rFonts w:ascii="Bookman Old Style" w:hAnsi="Bookman Old Style"/>
          <w:sz w:val="24"/>
          <w:szCs w:val="24"/>
        </w:rPr>
        <w:t>Press</w:t>
      </w:r>
      <w:proofErr w:type="spellEnd"/>
      <w:r w:rsidRPr="0089220C">
        <w:rPr>
          <w:rFonts w:ascii="Bookman Old Style" w:hAnsi="Bookman Old Style"/>
          <w:sz w:val="24"/>
          <w:szCs w:val="24"/>
        </w:rPr>
        <w:t>, 1936</w:t>
      </w:r>
    </w:p>
    <w:sectPr w:rsidR="0089220C" w:rsidRPr="0084115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52621" w14:textId="77777777" w:rsidR="0089220C" w:rsidRDefault="0089220C" w:rsidP="0089220C">
      <w:pPr>
        <w:spacing w:after="0" w:line="240" w:lineRule="auto"/>
      </w:pPr>
      <w:r>
        <w:separator/>
      </w:r>
    </w:p>
  </w:endnote>
  <w:endnote w:type="continuationSeparator" w:id="0">
    <w:p w14:paraId="06C66FA8" w14:textId="77777777" w:rsidR="0089220C" w:rsidRDefault="0089220C" w:rsidP="0089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6590824"/>
      <w:docPartObj>
        <w:docPartGallery w:val="Page Numbers (Bottom of Page)"/>
        <w:docPartUnique/>
      </w:docPartObj>
    </w:sdtPr>
    <w:sdtContent>
      <w:p w14:paraId="6B1E47D0" w14:textId="71E62721" w:rsidR="0089220C" w:rsidRDefault="0089220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240A3" w14:textId="77777777" w:rsidR="0089220C" w:rsidRDefault="008922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5D36C" w14:textId="77777777" w:rsidR="0089220C" w:rsidRDefault="0089220C" w:rsidP="0089220C">
      <w:pPr>
        <w:spacing w:after="0" w:line="240" w:lineRule="auto"/>
      </w:pPr>
      <w:r>
        <w:separator/>
      </w:r>
    </w:p>
  </w:footnote>
  <w:footnote w:type="continuationSeparator" w:id="0">
    <w:p w14:paraId="1FB607E4" w14:textId="77777777" w:rsidR="0089220C" w:rsidRDefault="0089220C" w:rsidP="00892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45"/>
    <w:rsid w:val="00003248"/>
    <w:rsid w:val="00016497"/>
    <w:rsid w:val="0001798D"/>
    <w:rsid w:val="000A0DC0"/>
    <w:rsid w:val="00101082"/>
    <w:rsid w:val="0011619A"/>
    <w:rsid w:val="00121945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56078"/>
    <w:rsid w:val="00361AF0"/>
    <w:rsid w:val="00413821"/>
    <w:rsid w:val="0046430E"/>
    <w:rsid w:val="004C1C8D"/>
    <w:rsid w:val="00516FBD"/>
    <w:rsid w:val="00533888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0066"/>
    <w:rsid w:val="007B1525"/>
    <w:rsid w:val="007D3C60"/>
    <w:rsid w:val="00841157"/>
    <w:rsid w:val="0085224B"/>
    <w:rsid w:val="0089220C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36D33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8CEE"/>
  <w15:chartTrackingRefBased/>
  <w15:docId w15:val="{4FAFCC58-336C-4035-B280-39F92102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20C"/>
  </w:style>
  <w:style w:type="paragraph" w:styleId="AltBilgi">
    <w:name w:val="footer"/>
    <w:basedOn w:val="Normal"/>
    <w:link w:val="AltBilgiChar"/>
    <w:uiPriority w:val="99"/>
    <w:unhideWhenUsed/>
    <w:rsid w:val="0089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2020-08-17T19:52:00Z</dcterms:created>
  <dcterms:modified xsi:type="dcterms:W3CDTF">2020-08-17T21:40:00Z</dcterms:modified>
</cp:coreProperties>
</file>