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B" w:rsidRDefault="004E38A2" w:rsidP="00E9080C">
      <w:pPr>
        <w:spacing w:before="0" w:after="60" w:line="300" w:lineRule="auto"/>
        <w:jc w:val="center"/>
        <w:rPr>
          <w:b/>
        </w:rPr>
      </w:pPr>
      <w:bookmarkStart w:id="0" w:name="_GoBack"/>
      <w:bookmarkEnd w:id="0"/>
      <w:r w:rsidRPr="00440C51">
        <w:rPr>
          <w:b/>
        </w:rPr>
        <w:t>PATENT VE FAYDALI MODEL HUKUKU</w:t>
      </w:r>
    </w:p>
    <w:p w:rsidR="00440C51" w:rsidRPr="00440C51" w:rsidRDefault="00AE7C89" w:rsidP="00E9080C">
      <w:pPr>
        <w:spacing w:before="0" w:after="60" w:line="300" w:lineRule="auto"/>
        <w:jc w:val="center"/>
        <w:rPr>
          <w:b/>
        </w:rPr>
      </w:pPr>
      <w:r>
        <w:rPr>
          <w:b/>
        </w:rPr>
        <w:t>9</w:t>
      </w:r>
      <w:r w:rsidR="00440C51">
        <w:rPr>
          <w:b/>
        </w:rPr>
        <w:t>. HAFTA</w:t>
      </w:r>
    </w:p>
    <w:p w:rsidR="001B0109" w:rsidRDefault="001B0109" w:rsidP="00E9080C">
      <w:pPr>
        <w:spacing w:before="0" w:after="60" w:line="300" w:lineRule="auto"/>
        <w:rPr>
          <w:b/>
        </w:rPr>
      </w:pPr>
      <w:r w:rsidRPr="001B0109">
        <w:rPr>
          <w:b/>
        </w:rPr>
        <w:t xml:space="preserve">I) </w:t>
      </w:r>
      <w:r w:rsidR="00AE7C89">
        <w:rPr>
          <w:b/>
        </w:rPr>
        <w:t>PATENTTE HAK SAHİPLİĞİ</w:t>
      </w:r>
    </w:p>
    <w:p w:rsidR="00AE7C89" w:rsidRDefault="00AE7C89" w:rsidP="00E9080C">
      <w:pPr>
        <w:spacing w:before="0" w:after="60" w:line="300" w:lineRule="auto"/>
      </w:pPr>
      <w:r>
        <w:t>Kural olarak “</w:t>
      </w:r>
      <w:r w:rsidRPr="00AE7C89">
        <w:t>Patent isteme hakkı, buluşu yapana veya onun haleflerine ait olup bu hakkın başkalarına devri mümkündür.</w:t>
      </w:r>
      <w:r>
        <w:t xml:space="preserve">” </w:t>
      </w:r>
      <w:r w:rsidRPr="00AE7C89">
        <w:t>Buluş birden çok kişi tarafından birlikte gerçekleştirilmişse patent isteme hakkı, taraflar başka türlü kararlaştırmamışsa bunların tamamına aittir.</w:t>
      </w:r>
      <w:r w:rsidR="00544A6D" w:rsidRPr="00544A6D">
        <w:t xml:space="preserve"> </w:t>
      </w:r>
      <w:r w:rsidR="00544A6D">
        <w:t>(SMK md. 109)</w:t>
      </w:r>
    </w:p>
    <w:p w:rsidR="00544A6D" w:rsidRDefault="00544A6D" w:rsidP="00E9080C">
      <w:pPr>
        <w:spacing w:before="0" w:after="60" w:line="300" w:lineRule="auto"/>
      </w:pPr>
      <w:r w:rsidRPr="00544A6D">
        <w:t xml:space="preserve">Çalışanın, bir işletme veya kamu idaresinde yükümlü olduğu faaliyeti gereği gerçekleştirdiği ya da büyük ölçüde işletme veya kamu idaresinin deneyim ve çalışmalarına dayanarak, iş ilişkisi sırasında </w:t>
      </w:r>
      <w:r>
        <w:t xml:space="preserve">yaptığı buluş, hizmet buluşudur. </w:t>
      </w:r>
      <w:r w:rsidRPr="00544A6D">
        <w:t>Öğrenciler ve ücretsiz olarak belirli bir süreye bağlı olmaksızın hizmet gören stajyerler hakkında çalışanlara ilişkin hükümler uygulanır.</w:t>
      </w:r>
      <w:r>
        <w:t xml:space="preserve"> </w:t>
      </w:r>
      <w:r w:rsidRPr="00544A6D">
        <w:t xml:space="preserve">Çalışan buluşu için uygulanan hükümler, diğer kanuni düzenlemeler ve taraflar arasında yapılan sözleşme hükümleri saklı kalmak şartıyla, kamu kurum ve kuruluşlarında çalışanların buluşları hakkında da uygulanır. </w:t>
      </w:r>
      <w:r>
        <w:t>(SMK md. 113).</w:t>
      </w:r>
    </w:p>
    <w:p w:rsidR="00AE7C89" w:rsidRPr="00AE7C89" w:rsidRDefault="00544A6D" w:rsidP="00E9080C">
      <w:pPr>
        <w:spacing w:before="0" w:after="60" w:line="300" w:lineRule="auto"/>
      </w:pPr>
      <w:r w:rsidRPr="00544A6D">
        <w:t>Çalışan, bir hizmet buluşu yaptığında, bu buluşunu yazılı olarak ve geciktirmeksizin işverene bildirmekle yükümlüdür. Buluş birden çok çalışan tarafından gerçekleştirilmişse, bu bildirim birlikte yapılabilir. İşveren, bildirimin kendisine ulaştığı tarihi, bildirimde bulunan kişi veya kişilere gecikmek</w:t>
      </w:r>
      <w:r>
        <w:t>sizin ve yazılı olarak bildirir (SMK md. 114).</w:t>
      </w:r>
    </w:p>
    <w:p w:rsidR="00544A6D" w:rsidRDefault="00544A6D" w:rsidP="00E9080C">
      <w:pPr>
        <w:spacing w:before="0" w:after="60" w:line="300" w:lineRule="auto"/>
      </w:pPr>
      <w:r w:rsidRPr="00544A6D">
        <w:t>2547 sayılı Kanunun 3 üncü maddesinin birinci fıkrasının (c) bendinde tanımlanan yükseköğretim kurumları ile Millî Savunma Bakanlığı ve İçişleri Bakanlığına bağlı yükseköğretim kurumlarında yapılan bilimsel çalışmalar veya araştırmalar sonucunda gerçekleştirilen buluşlar için, özel kanun hükümleri ve bu madde kapsamındaki düzenlemeler saklı kalmak kaydıyla, çalışanların buluşlarına ilişkin hükümler uygulanır.</w:t>
      </w:r>
      <w:r>
        <w:t xml:space="preserve"> </w:t>
      </w:r>
      <w:r w:rsidRPr="00544A6D">
        <w:t>Yükseköğretim kurumlarında yapılan bilimsel çalışmalar veya araştırmalar sonucunda bir buluş gerçekleştiğinde buluşu yapan, buluşunu yazılı olarak ve geciktirmeksizin yükseköğretim kurumuna bildirmekle yükümlüdür. Patent başvurusu yapılmışsa yükseköğretim kurumuna başvuru yapıldığına dair bildirim yapılır. Yükseköğretim kurumu, buluş üzerinde hak sahipliği talebinde bulunması durumunda, patent başvurusu yapmakla yükümlüdür. Aksi takdirde buluş, serbest buluş niteliği kazanır.</w:t>
      </w:r>
      <w:r>
        <w:t xml:space="preserve"> (SMK md. 121)</w:t>
      </w:r>
    </w:p>
    <w:p w:rsidR="001B0109" w:rsidRPr="00544A6D" w:rsidRDefault="00544A6D" w:rsidP="00E9080C">
      <w:pPr>
        <w:spacing w:before="0" w:after="60" w:line="300" w:lineRule="auto"/>
      </w:pPr>
      <w:r>
        <w:t>Çalışan ile işveren arasında mevcut olan iş ilişkisi ile ilgili olmayan, çalışan tarafından gerçekleştirilen buluşlar serbest buluş olarak kabul edilmektedir. Kısaca, hizmet buluşu dışında kalan tüm buluşlar serbest buluş olarak kabul edilmektedir. Serbest buluşların sahibi çalışanın kendisidir.</w:t>
      </w:r>
    </w:p>
    <w:p w:rsidR="004E38A2" w:rsidRDefault="00544A6D" w:rsidP="00E9080C">
      <w:pPr>
        <w:spacing w:before="0" w:after="60" w:line="300" w:lineRule="auto"/>
        <w:rPr>
          <w:b/>
        </w:rPr>
      </w:pPr>
      <w:r>
        <w:rPr>
          <w:b/>
        </w:rPr>
        <w:t>II</w:t>
      </w:r>
      <w:r w:rsidR="00AE7C89">
        <w:rPr>
          <w:b/>
        </w:rPr>
        <w:t>) PATENT HAKKININ KAPSAMI</w:t>
      </w:r>
    </w:p>
    <w:p w:rsidR="00544A6D" w:rsidRDefault="001852D4" w:rsidP="00E9080C">
      <w:pPr>
        <w:spacing w:before="0" w:after="60" w:line="300" w:lineRule="auto"/>
      </w:pPr>
      <w:r w:rsidRPr="001852D4">
        <w:rPr>
          <w:b/>
        </w:rPr>
        <w:t>SMK md. 85</w:t>
      </w:r>
      <w:r>
        <w:t>’e göre p</w:t>
      </w:r>
      <w:r w:rsidR="00544A6D">
        <w:t>atent sahibinin, izinsiz olarak yapılması hâlinde aşağıda belirtilen fiillerin önlenmesini talep etme hakkı vardır:</w:t>
      </w:r>
    </w:p>
    <w:p w:rsidR="00544A6D" w:rsidRDefault="00544A6D" w:rsidP="00E9080C">
      <w:pPr>
        <w:spacing w:before="0" w:after="60" w:line="300" w:lineRule="auto"/>
      </w:pPr>
      <w:r>
        <w:t>a) Patent konusu ürünün üretilmesi, satılması, kullanılması veya ithal edilmesi veya bu amaçlar için kişisel ihtiyaçtan başka herhangi bir nedenle elde bulundurulması.</w:t>
      </w:r>
    </w:p>
    <w:p w:rsidR="00544A6D" w:rsidRDefault="00544A6D" w:rsidP="00E9080C">
      <w:pPr>
        <w:spacing w:before="0" w:after="60" w:line="300" w:lineRule="auto"/>
      </w:pPr>
      <w:r>
        <w:lastRenderedPageBreak/>
        <w:t>b) Patent konusu olan bir usulün kullanılması.</w:t>
      </w:r>
    </w:p>
    <w:p w:rsidR="00544A6D" w:rsidRDefault="00544A6D" w:rsidP="00E9080C">
      <w:pPr>
        <w:spacing w:before="0" w:after="60" w:line="300" w:lineRule="auto"/>
      </w:pPr>
      <w:r>
        <w:t>c) Kullanılmasının yasak olduğu bilinen veya bilinmesi gereken usul patentinin kullanılmasının başkalarına teklif edilmesi.</w:t>
      </w:r>
    </w:p>
    <w:p w:rsidR="00544A6D" w:rsidRDefault="00544A6D" w:rsidP="00E9080C">
      <w:pPr>
        <w:spacing w:before="0" w:after="60" w:line="300" w:lineRule="auto"/>
      </w:pPr>
      <w:r>
        <w:t xml:space="preserve">ç) Patent konusu usul ile doğrudan doğruya elde edilen ürünlerin satılması, kullanılması, ithal edilmesi veya bu amaçlar için kişisel ihtiyaçtan başka herhangi bir nedenle elde bulundurulması. </w:t>
      </w:r>
    </w:p>
    <w:p w:rsidR="00544A6D" w:rsidRDefault="00544A6D" w:rsidP="00E9080C">
      <w:pPr>
        <w:spacing w:before="0" w:after="60" w:line="300" w:lineRule="auto"/>
      </w:pPr>
      <w:r>
        <w:t>Aşağıda sayılan fiiller patentin sağladığı hakkın kapsamı dışındadır:</w:t>
      </w:r>
    </w:p>
    <w:p w:rsidR="00544A6D" w:rsidRDefault="00544A6D" w:rsidP="00E9080C">
      <w:pPr>
        <w:spacing w:before="0" w:after="60" w:line="300" w:lineRule="auto"/>
      </w:pPr>
      <w:r>
        <w:t>a) Sınai veya ticari bir amaç taşımayan ve özel maksatla sınırlı kalan fiiller.</w:t>
      </w:r>
    </w:p>
    <w:p w:rsidR="00544A6D" w:rsidRDefault="00544A6D" w:rsidP="00E9080C">
      <w:pPr>
        <w:spacing w:before="0" w:after="60" w:line="300" w:lineRule="auto"/>
      </w:pPr>
      <w:r>
        <w:t>b) Patent konusu buluşu içeren deneme amaçlı fiiller.</w:t>
      </w:r>
    </w:p>
    <w:p w:rsidR="00544A6D" w:rsidRDefault="00544A6D" w:rsidP="00E9080C">
      <w:pPr>
        <w:spacing w:before="0" w:after="60" w:line="300" w:lineRule="auto"/>
      </w:pPr>
      <w:r>
        <w:t>c) İlaçların ruhsatlandırılması ve bunun için gerekli test ve deneyler de dâhil olmak üzere, patent konusu buluşu içeren deneme amaçlı fiiller.</w:t>
      </w:r>
    </w:p>
    <w:p w:rsidR="00544A6D" w:rsidRDefault="00544A6D" w:rsidP="00E9080C">
      <w:pPr>
        <w:spacing w:before="0" w:after="60" w:line="300" w:lineRule="auto"/>
      </w:pPr>
      <w:r>
        <w:t>ç) Sadece bir reçetenin oluşturulması için eczanelerde yapılan ilaçların seri üretim olmadan hazırlanarak kullanılması ve bu şekilde hazırlanan ilaçlara ilişkin fiiller.</w:t>
      </w:r>
    </w:p>
    <w:p w:rsidR="00544A6D" w:rsidRDefault="00544A6D" w:rsidP="00E9080C">
      <w:pPr>
        <w:spacing w:before="0" w:after="60" w:line="300" w:lineRule="auto"/>
      </w:pPr>
      <w:r>
        <w:t>d) Patent konusu buluşun Paris Sözleşmesine taraf devletlerin gemi, uzay aracı, uçak veya kara nakil araçlarının yapımında veya çalıştırılmasında veya bu araçların ihtiyaçlarının karşılanmasında, söz konusu araçların geçici veya tesadüfi olarak Türkiye Cumhuriyeti sınırları içinde bulunması şartıyla kullanılması.</w:t>
      </w:r>
    </w:p>
    <w:p w:rsidR="00544A6D" w:rsidRDefault="00544A6D" w:rsidP="00E9080C">
      <w:pPr>
        <w:spacing w:before="0" w:after="60" w:line="300" w:lineRule="auto"/>
      </w:pPr>
      <w:r>
        <w:t>e) 5/6/1945 tarihli ve 4749 sayılı Kanunla onaylanan Milletlerarası Sivil Havacılık Anlaşmasının 27 nci maddesinde öngörülen ve bu madde hükümlerinin uygulandığı bir devletin hava aracı ile ilgili fiiller.</w:t>
      </w:r>
    </w:p>
    <w:p w:rsidR="001852D4" w:rsidRPr="001852D4" w:rsidRDefault="001852D4" w:rsidP="00E9080C">
      <w:pPr>
        <w:spacing w:before="0" w:after="60" w:line="300" w:lineRule="auto"/>
        <w:rPr>
          <w:b/>
        </w:rPr>
      </w:pPr>
      <w:r w:rsidRPr="001852D4">
        <w:rPr>
          <w:b/>
        </w:rPr>
        <w:t>III) PATENT HAKKINA TECAVÜZ</w:t>
      </w:r>
    </w:p>
    <w:p w:rsidR="001852D4" w:rsidRDefault="001852D4" w:rsidP="00E9080C">
      <w:pPr>
        <w:spacing w:before="0" w:after="60" w:line="300" w:lineRule="auto"/>
      </w:pPr>
      <w:r w:rsidRPr="001852D4">
        <w:rPr>
          <w:b/>
        </w:rPr>
        <w:t>SMK md. 141</w:t>
      </w:r>
      <w:r>
        <w:t>’e göre; aşağıdaki fiiller, patent veya faydalı model hakkına tecavüz sayılır:</w:t>
      </w:r>
    </w:p>
    <w:p w:rsidR="001852D4" w:rsidRDefault="001852D4" w:rsidP="00E9080C">
      <w:pPr>
        <w:spacing w:before="0" w:after="60" w:line="300" w:lineRule="auto"/>
      </w:pPr>
      <w:r>
        <w:t>a) Patent veya faydalı model sahibinin izni olmaksızın buluş konusu ürünü kısmen veya tamamen üretme sonucu taklit etmek.</w:t>
      </w:r>
    </w:p>
    <w:p w:rsidR="001852D4" w:rsidRDefault="001852D4" w:rsidP="00E9080C">
      <w:pPr>
        <w:spacing w:before="0" w:after="60" w:line="300" w:lineRule="auto"/>
      </w:pPr>
      <w:r>
        <w:t>b) Kısmen veya tamamen taklit suretiyle meydana getirildiğini bildiği ya da bilmesi gerektiği hâlde tecavüz yoluyla üretilen buluş konusu ürünleri satmak, dağıtmak veya başka bir şekilde ticaret alanına çıkarmak ya da bu amaçlar için ithal etmek, ticari amaçla elde bulundurmak, uygulamaya koymak suretiyle kullanmak veya bu ürünle ilgili sözleşme yapmak için öneride bulunmak.</w:t>
      </w:r>
    </w:p>
    <w:p w:rsidR="001852D4" w:rsidRDefault="001852D4" w:rsidP="00E9080C">
      <w:pPr>
        <w:spacing w:before="0" w:after="60" w:line="300" w:lineRule="auto"/>
      </w:pPr>
      <w:r>
        <w:t>c) Patent sahibinin izni olmaksızın buluş konusu usulü kullanmak veya bu usulün izinsiz olarak kullanıldığını bildiği ya da bilmesi gerektiği hâlde buluş konusu usulle doğrudan doğruya elde edilen ürünleri satmak, dağıtmak veya başka bir şekilde ticaret alanına çıkarmak ya da bu amaçlar için ithal etmek, ticari amaçla elde bulundurmak, uygulamaya koymak suretiyle kullanmak veya bu ürünlerle ilgili sözleşme yapmak için öneride bulunmak.</w:t>
      </w:r>
    </w:p>
    <w:p w:rsidR="001852D4" w:rsidRDefault="001852D4" w:rsidP="00E9080C">
      <w:pPr>
        <w:spacing w:before="0" w:after="60" w:line="300" w:lineRule="auto"/>
      </w:pPr>
      <w:r>
        <w:t>ç) Patent veya faydalı model hakkını gasp etmek.</w:t>
      </w:r>
    </w:p>
    <w:p w:rsidR="001852D4" w:rsidRDefault="001852D4" w:rsidP="00E9080C">
      <w:pPr>
        <w:spacing w:before="0" w:after="60" w:line="300" w:lineRule="auto"/>
      </w:pPr>
      <w:r>
        <w:t>d) Patent veya faydalı model sahibi tarafından sözleşmeye dayalı lisans veya zorunlu lisans yoluyla verilmiş hakları izinsiz genişletmek veya bu hakları üçüncü kişilere devretmek.</w:t>
      </w:r>
    </w:p>
    <w:p w:rsidR="001852D4" w:rsidRDefault="001852D4" w:rsidP="00E9080C">
      <w:pPr>
        <w:spacing w:before="0" w:after="60" w:line="300" w:lineRule="auto"/>
      </w:pPr>
      <w:r w:rsidRPr="001852D4">
        <w:rPr>
          <w:b/>
        </w:rPr>
        <w:lastRenderedPageBreak/>
        <w:t>SMK md. 149</w:t>
      </w:r>
      <w:r>
        <w:t>’a göre; sınai mülkiyet hakkı tecavüze uğrayan hak sahibi, mahkemeden aşağıdaki taleplerde bulunabilir:</w:t>
      </w:r>
    </w:p>
    <w:p w:rsidR="001852D4" w:rsidRDefault="001852D4" w:rsidP="00E9080C">
      <w:pPr>
        <w:spacing w:before="0" w:after="60" w:line="300" w:lineRule="auto"/>
      </w:pPr>
      <w:r>
        <w:t>a) Fiilin tecavüz olup olmadığının tespiti.</w:t>
      </w:r>
    </w:p>
    <w:p w:rsidR="001852D4" w:rsidRDefault="001852D4" w:rsidP="00E9080C">
      <w:pPr>
        <w:spacing w:before="0" w:after="60" w:line="300" w:lineRule="auto"/>
      </w:pPr>
      <w:r>
        <w:t>b) Muhtemel tecavüzün önlenmesi.</w:t>
      </w:r>
    </w:p>
    <w:p w:rsidR="001852D4" w:rsidRDefault="001852D4" w:rsidP="00E9080C">
      <w:pPr>
        <w:spacing w:before="0" w:after="60" w:line="300" w:lineRule="auto"/>
      </w:pPr>
      <w:r>
        <w:t>c) Tecavüz fiillerinin durdurulması.</w:t>
      </w:r>
    </w:p>
    <w:p w:rsidR="001852D4" w:rsidRDefault="001852D4" w:rsidP="00E9080C">
      <w:pPr>
        <w:spacing w:before="0" w:after="60" w:line="300" w:lineRule="auto"/>
      </w:pPr>
      <w:r>
        <w:t>ç) Tecavüzün kaldırılması ile maddi ve manevi zararın tazmini.</w:t>
      </w:r>
    </w:p>
    <w:p w:rsidR="001852D4" w:rsidRDefault="001852D4" w:rsidP="00E9080C">
      <w:pPr>
        <w:spacing w:before="0" w:after="60" w:line="300" w:lineRule="auto"/>
      </w:pPr>
      <w:r>
        <w:t>d) Tecavüz oluşturan veya cezayı gerektiren ürünler ile bunların üretiminde münhasıran kullanılan cihaz, makine gibi araçlara, tecavüze konu ürünler dışındaki diğer ürünlerin üretimini engellemeyecek şekilde elkonulması.</w:t>
      </w:r>
    </w:p>
    <w:p w:rsidR="001852D4" w:rsidRDefault="001852D4" w:rsidP="00E9080C">
      <w:pPr>
        <w:spacing w:before="0" w:after="60" w:line="300" w:lineRule="auto"/>
      </w:pPr>
      <w:r>
        <w:t>e) (d) bendi uyarınca elkonulan ürün, cihaz ve makineler üzerinde kendisine mülkiyet hakkının tanınması.</w:t>
      </w:r>
    </w:p>
    <w:p w:rsidR="001852D4" w:rsidRDefault="001852D4" w:rsidP="00E9080C">
      <w:pPr>
        <w:spacing w:before="0" w:after="60" w:line="300" w:lineRule="auto"/>
      </w:pPr>
      <w:r>
        <w:t>f) Tecavüzün devamını önlemek üzere tedbirlerin alınması, özellikle masraflar tecavüz edene ait olmak üzere (d) bendine göre elkonulan ürünler ile cihaz ve makine gibi araçların şekillerinin değiştirilmesi, üzerlerindeki markaların silinmesi veya sınai mülkiyet haklarına tecavüzün önlenmesi için kaçınılmaz ise imhası.</w:t>
      </w:r>
    </w:p>
    <w:p w:rsidR="001852D4" w:rsidRDefault="001852D4" w:rsidP="00E9080C">
      <w:pPr>
        <w:spacing w:before="0" w:after="60" w:line="300" w:lineRule="auto"/>
      </w:pPr>
      <w:r>
        <w:t>g) Haklı bir sebebin veya menfaatinin bulunması hâlinde, masrafları karşı tarafa ait olmak üzere kesinleşmiş kararın günlük gazete veya benzeri vasıtalarla tamamen veya özet olarak ilan edilmesi veya ilgililere tebliğ edilmesi.</w:t>
      </w:r>
    </w:p>
    <w:p w:rsidR="00E9080C" w:rsidRPr="00E9080C" w:rsidRDefault="00E9080C" w:rsidP="00E9080C">
      <w:pPr>
        <w:spacing w:before="0" w:after="60" w:line="300" w:lineRule="auto"/>
        <w:rPr>
          <w:b/>
        </w:rPr>
      </w:pPr>
      <w:r w:rsidRPr="00E9080C">
        <w:rPr>
          <w:b/>
        </w:rPr>
        <w:t>IV) TAZMİNATLAR</w:t>
      </w:r>
    </w:p>
    <w:p w:rsidR="00E9080C" w:rsidRDefault="00E9080C" w:rsidP="00E9080C">
      <w:pPr>
        <w:spacing w:before="0" w:after="60" w:line="300" w:lineRule="auto"/>
      </w:pPr>
      <w:r>
        <w:t>Patent hakkı tecavüze uğrayan kişi, maddi, manevi zararını ve şartları varsa itibar kaybı tazminatı talep edebilir.</w:t>
      </w:r>
    </w:p>
    <w:p w:rsidR="00E9080C" w:rsidRDefault="00E9080C" w:rsidP="00E9080C">
      <w:pPr>
        <w:spacing w:before="0" w:after="60" w:line="300" w:lineRule="auto"/>
      </w:pPr>
      <w:r w:rsidRPr="00E9080C">
        <w:rPr>
          <w:b/>
        </w:rPr>
        <w:t>Maddi Tazminat:</w:t>
      </w:r>
      <w:r>
        <w:t xml:space="preserve"> Fiili zarar ve yoksun kalınan karı kapsar. (SMK md. 151)</w:t>
      </w:r>
    </w:p>
    <w:p w:rsidR="00E9080C" w:rsidRDefault="00E9080C" w:rsidP="00E9080C">
      <w:pPr>
        <w:spacing w:before="0" w:after="60" w:line="300" w:lineRule="auto"/>
      </w:pPr>
      <w:r>
        <w:t>Yoksun kalınan kazanç, zarar gören hak sahibinin seçimine bağlı olarak, aşağıdaki değerlendirme usullerinden biri ile hesaplanır:</w:t>
      </w:r>
    </w:p>
    <w:p w:rsidR="00E9080C" w:rsidRDefault="00E9080C" w:rsidP="00E9080C">
      <w:pPr>
        <w:spacing w:before="0" w:after="60" w:line="300" w:lineRule="auto"/>
      </w:pPr>
      <w:r>
        <w:t>a) Sınai mülkiyet hakkına tecavüz edenin rekabeti olmasaydı, hak sahibinin elde edebileceği muhtemel gelir.</w:t>
      </w:r>
    </w:p>
    <w:p w:rsidR="00E9080C" w:rsidRDefault="00E9080C" w:rsidP="00E9080C">
      <w:pPr>
        <w:spacing w:before="0" w:after="60" w:line="300" w:lineRule="auto"/>
      </w:pPr>
      <w:r>
        <w:t>b) Sınai mülkiyet hakkına tecavüz edenin elde ettiği net kazanç.</w:t>
      </w:r>
    </w:p>
    <w:p w:rsidR="00E9080C" w:rsidRDefault="00E9080C" w:rsidP="00E9080C">
      <w:pPr>
        <w:spacing w:before="0" w:after="60" w:line="300" w:lineRule="auto"/>
      </w:pPr>
      <w:r>
        <w:t>c) Sınai mülkiyet hakkına tecavüz edenin bu hakkı bir lisans sözleşmesi ile hukuka uygun şekilde kullanmış olması hâlinde ödemesi gereken lisans bedeli.</w:t>
      </w:r>
    </w:p>
    <w:p w:rsidR="00E9080C" w:rsidRDefault="00E9080C" w:rsidP="00E9080C">
      <w:pPr>
        <w:spacing w:before="0" w:after="60" w:line="300" w:lineRule="auto"/>
      </w:pPr>
      <w:r w:rsidRPr="00E9080C">
        <w:rPr>
          <w:b/>
        </w:rPr>
        <w:t>İtibar Kaybı Tazminatı:</w:t>
      </w:r>
      <w:r>
        <w:t xml:space="preserve"> </w:t>
      </w:r>
      <w:r w:rsidRPr="00E9080C">
        <w:t>Sınai mülkiyet hakkına tecavüz edilmesi durumunda, hakka konu ürün veya hizmetlerin, tecavüz eden tarafından kötü şekilde kullanılması veya üretilmesi, bu şekilde üretilen ürünlerin temin edilmesi yahut uygun olmayan bir tarzda piyasaya sürülmesi sonucunda sınai mülkiyet hakkının itibarı zarara uğrarsa, bu nedenle ayrıca tazminat istenebilir.</w:t>
      </w:r>
      <w:r>
        <w:t xml:space="preserve"> (SMK md. 150/2)</w:t>
      </w:r>
    </w:p>
    <w:sectPr w:rsidR="00E908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40" w:rsidRDefault="00EE4C40" w:rsidP="001852D4">
      <w:pPr>
        <w:spacing w:before="0" w:after="0" w:line="240" w:lineRule="auto"/>
      </w:pPr>
      <w:r>
        <w:separator/>
      </w:r>
    </w:p>
  </w:endnote>
  <w:endnote w:type="continuationSeparator" w:id="0">
    <w:p w:rsidR="00EE4C40" w:rsidRDefault="00EE4C40" w:rsidP="001852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41434"/>
      <w:docPartObj>
        <w:docPartGallery w:val="Page Numbers (Bottom of Page)"/>
        <w:docPartUnique/>
      </w:docPartObj>
    </w:sdtPr>
    <w:sdtEndPr/>
    <w:sdtContent>
      <w:p w:rsidR="001852D4" w:rsidRDefault="001852D4">
        <w:pPr>
          <w:pStyle w:val="Altbilgi"/>
          <w:jc w:val="center"/>
        </w:pPr>
        <w:r>
          <w:fldChar w:fldCharType="begin"/>
        </w:r>
        <w:r>
          <w:instrText>PAGE   \* MERGEFORMAT</w:instrText>
        </w:r>
        <w:r>
          <w:fldChar w:fldCharType="separate"/>
        </w:r>
        <w:r w:rsidR="003317D4">
          <w:rPr>
            <w:noProof/>
          </w:rPr>
          <w:t>1</w:t>
        </w:r>
        <w:r>
          <w:fldChar w:fldCharType="end"/>
        </w:r>
      </w:p>
    </w:sdtContent>
  </w:sdt>
  <w:p w:rsidR="001852D4" w:rsidRDefault="001852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40" w:rsidRDefault="00EE4C40" w:rsidP="001852D4">
      <w:pPr>
        <w:spacing w:before="0" w:after="0" w:line="240" w:lineRule="auto"/>
      </w:pPr>
      <w:r>
        <w:separator/>
      </w:r>
    </w:p>
  </w:footnote>
  <w:footnote w:type="continuationSeparator" w:id="0">
    <w:p w:rsidR="00EE4C40" w:rsidRDefault="00EE4C40" w:rsidP="001852D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03"/>
    <w:rsid w:val="00054B7E"/>
    <w:rsid w:val="001852D4"/>
    <w:rsid w:val="001B0109"/>
    <w:rsid w:val="003317D4"/>
    <w:rsid w:val="003F7DFB"/>
    <w:rsid w:val="00440C51"/>
    <w:rsid w:val="00497FD7"/>
    <w:rsid w:val="004E38A2"/>
    <w:rsid w:val="00544A6D"/>
    <w:rsid w:val="00AE7C89"/>
    <w:rsid w:val="00B2241A"/>
    <w:rsid w:val="00C87807"/>
    <w:rsid w:val="00D73903"/>
    <w:rsid w:val="00E9080C"/>
    <w:rsid w:val="00EE4C40"/>
    <w:rsid w:val="00F71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 w:type="paragraph" w:styleId="stbilgi">
    <w:name w:val="header"/>
    <w:basedOn w:val="Normal"/>
    <w:link w:val="stbilgiChar"/>
    <w:uiPriority w:val="99"/>
    <w:unhideWhenUsed/>
    <w:rsid w:val="001852D4"/>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1852D4"/>
    <w:rPr>
      <w:rFonts w:ascii="Times New Roman" w:hAnsi="Times New Roman"/>
      <w:sz w:val="24"/>
    </w:rPr>
  </w:style>
  <w:style w:type="paragraph" w:styleId="Altbilgi">
    <w:name w:val="footer"/>
    <w:basedOn w:val="Normal"/>
    <w:link w:val="AltbilgiChar"/>
    <w:uiPriority w:val="99"/>
    <w:unhideWhenUsed/>
    <w:rsid w:val="001852D4"/>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1852D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 w:type="paragraph" w:styleId="stbilgi">
    <w:name w:val="header"/>
    <w:basedOn w:val="Normal"/>
    <w:link w:val="stbilgiChar"/>
    <w:uiPriority w:val="99"/>
    <w:unhideWhenUsed/>
    <w:rsid w:val="001852D4"/>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1852D4"/>
    <w:rPr>
      <w:rFonts w:ascii="Times New Roman" w:hAnsi="Times New Roman"/>
      <w:sz w:val="24"/>
    </w:rPr>
  </w:style>
  <w:style w:type="paragraph" w:styleId="Altbilgi">
    <w:name w:val="footer"/>
    <w:basedOn w:val="Normal"/>
    <w:link w:val="AltbilgiChar"/>
    <w:uiPriority w:val="99"/>
    <w:unhideWhenUsed/>
    <w:rsid w:val="001852D4"/>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1852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D2CD-0BC6-4872-B2E8-F888A87F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Özden</dc:creator>
  <cp:lastModifiedBy>zehra</cp:lastModifiedBy>
  <cp:revision>2</cp:revision>
  <dcterms:created xsi:type="dcterms:W3CDTF">2021-01-28T13:29:00Z</dcterms:created>
  <dcterms:modified xsi:type="dcterms:W3CDTF">2021-01-28T13:29:00Z</dcterms:modified>
</cp:coreProperties>
</file>