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AD" w:rsidRDefault="001820AD" w:rsidP="001820AD">
      <w:pPr>
        <w:spacing w:before="0" w:after="60" w:line="300" w:lineRule="auto"/>
        <w:jc w:val="center"/>
        <w:rPr>
          <w:b/>
        </w:rPr>
      </w:pPr>
      <w:bookmarkStart w:id="0" w:name="_GoBack"/>
      <w:bookmarkEnd w:id="0"/>
      <w:r w:rsidRPr="00440C51">
        <w:rPr>
          <w:b/>
        </w:rPr>
        <w:t>PATENT VE FAYDALI MODEL HUKUKU</w:t>
      </w:r>
    </w:p>
    <w:p w:rsidR="001820AD" w:rsidRDefault="001820AD" w:rsidP="001820AD">
      <w:pPr>
        <w:spacing w:before="0" w:after="60" w:line="300" w:lineRule="auto"/>
        <w:jc w:val="center"/>
        <w:rPr>
          <w:b/>
        </w:rPr>
      </w:pPr>
      <w:r>
        <w:rPr>
          <w:b/>
        </w:rPr>
        <w:t>10. HAFTA</w:t>
      </w:r>
    </w:p>
    <w:p w:rsidR="001820AD" w:rsidRDefault="001820AD" w:rsidP="001820AD">
      <w:pPr>
        <w:spacing w:before="0" w:after="60" w:line="300" w:lineRule="auto"/>
        <w:jc w:val="center"/>
        <w:rPr>
          <w:b/>
        </w:rPr>
      </w:pPr>
    </w:p>
    <w:p w:rsidR="001820AD" w:rsidRDefault="001820AD" w:rsidP="001820AD">
      <w:pPr>
        <w:spacing w:before="0" w:after="60" w:line="300" w:lineRule="auto"/>
        <w:rPr>
          <w:b/>
        </w:rPr>
      </w:pPr>
      <w:r w:rsidRPr="001820AD">
        <w:rPr>
          <w:b/>
        </w:rPr>
        <w:t>I)</w:t>
      </w:r>
      <w:r>
        <w:rPr>
          <w:b/>
        </w:rPr>
        <w:t xml:space="preserve"> </w:t>
      </w:r>
      <w:r w:rsidRPr="001820AD">
        <w:rPr>
          <w:b/>
        </w:rPr>
        <w:t>PATENT BAŞVURUSU</w:t>
      </w:r>
    </w:p>
    <w:p w:rsidR="001820AD" w:rsidRDefault="001820AD" w:rsidP="001820AD">
      <w:pPr>
        <w:spacing w:before="0" w:after="60" w:line="300" w:lineRule="auto"/>
      </w:pPr>
      <w:r>
        <w:t xml:space="preserve">Patent başvurusu; a) Başvuru formunu, b) Buluş konusunu açıklayan tarifnameyi, c) İstemleri, ç) Tarifnamede veya istemlerde atıf yapılan resimleri, d) Özeti, e) Başvuru ücretinin ödendiğini gösterir bilgiyi, kapsar (SMK md. 90/1). </w:t>
      </w:r>
    </w:p>
    <w:p w:rsidR="001820AD" w:rsidRDefault="001820AD" w:rsidP="001820AD">
      <w:pPr>
        <w:spacing w:before="0" w:after="60" w:line="300" w:lineRule="auto"/>
      </w:pPr>
      <w:r>
        <w:t>Aşağıdaki unsurların tamamının Kuruma verildiği tarih itibarıyla patent başvuru tarihi</w:t>
      </w:r>
    </w:p>
    <w:p w:rsidR="001820AD" w:rsidRDefault="001820AD" w:rsidP="001820AD">
      <w:pPr>
        <w:spacing w:before="0" w:after="60" w:line="300" w:lineRule="auto"/>
        <w:ind w:firstLine="0"/>
      </w:pPr>
      <w:r>
        <w:t>kesinleşir ve başvuru işleme alınır: a) Patent verilmesi talebi. b) Başvuru sahibinin kimlik ve iletişim bilgileri. c) Türkçe veya ikinci fıkrada belirtilen yabancı dillerden biri ile yazılmış tarifname veya önceki bir başvuruya yapılan atıf (SMK md. 90/3). Patent başvurusunun kesinleştiği tarih önemlidir. Çünkü patent belgesinin koruma süresi, bu süreden itibaren başlar.</w:t>
      </w:r>
    </w:p>
    <w:p w:rsidR="001820AD" w:rsidRDefault="001820AD" w:rsidP="001820AD">
      <w:pPr>
        <w:spacing w:before="0" w:after="60" w:line="300" w:lineRule="auto"/>
      </w:pPr>
      <w:r>
        <w:t>Buluş, buluş konusunun ilgili olduğu teknik alanda uzman bir kişi tarafından buluşun uygulanabilmesini sağlayacak şekilde yeterince açık ve tam olarak patent başvurusunda, tarifname, istemler ve tarifnamede veya istemlerde atıf yapılan resimlerle açıklanır (SMK 92/1).</w:t>
      </w:r>
    </w:p>
    <w:p w:rsidR="001820AD" w:rsidRDefault="001820AD" w:rsidP="001820AD">
      <w:pPr>
        <w:spacing w:before="0" w:after="60" w:line="300" w:lineRule="auto"/>
      </w:pPr>
      <w:r>
        <w:t>Patent başvurusunun yayımlandığı tarihten itibaren üçüncü kişiler, patent başvurusuna konu olan buluşun patent verilebilirliğine ilişkin görüşlerini sunabilir. Ancak bu kişiler, bu aşamada Kurum nezdindeki işlemlere taraf olamaz (SMK md. 97/2).</w:t>
      </w:r>
    </w:p>
    <w:p w:rsidR="004D7F85" w:rsidRPr="00CE621D" w:rsidRDefault="001820AD" w:rsidP="004D7F85">
      <w:pPr>
        <w:spacing w:before="0" w:after="60" w:line="300" w:lineRule="auto"/>
        <w:rPr>
          <w:b/>
        </w:rPr>
      </w:pPr>
      <w:r w:rsidRPr="00CE621D">
        <w:rPr>
          <w:b/>
        </w:rPr>
        <w:t>II) KORUMA SÜRESİ</w:t>
      </w:r>
      <w:r w:rsidR="004D7F85" w:rsidRPr="00CE621D">
        <w:rPr>
          <w:b/>
        </w:rPr>
        <w:t xml:space="preserve"> </w:t>
      </w:r>
    </w:p>
    <w:p w:rsidR="004D7F85" w:rsidRPr="001820AD" w:rsidRDefault="004D7F85" w:rsidP="004D7F85">
      <w:pPr>
        <w:spacing w:before="0" w:after="60" w:line="300" w:lineRule="auto"/>
      </w:pPr>
      <w:r w:rsidRPr="001820AD">
        <w:rPr>
          <w:b/>
        </w:rPr>
        <w:t>Başvuru tarihinden başlamak üzere</w:t>
      </w:r>
      <w:r>
        <w:t xml:space="preserve">, patentin koruma süresi </w:t>
      </w:r>
      <w:r w:rsidRPr="001820AD">
        <w:rPr>
          <w:b/>
        </w:rPr>
        <w:t>yirmi yıl</w:t>
      </w:r>
      <w:r>
        <w:t xml:space="preserve">, faydalı modelin koruma süresi </w:t>
      </w:r>
      <w:r w:rsidRPr="001820AD">
        <w:rPr>
          <w:b/>
        </w:rPr>
        <w:t>on yıldır</w:t>
      </w:r>
      <w:r>
        <w:t>. Bu süreler uzatılamaz.</w:t>
      </w:r>
    </w:p>
    <w:p w:rsidR="001820AD" w:rsidRPr="00CE621D" w:rsidRDefault="001820AD" w:rsidP="001820AD">
      <w:pPr>
        <w:rPr>
          <w:b/>
        </w:rPr>
      </w:pPr>
      <w:r w:rsidRPr="00CE621D">
        <w:rPr>
          <w:b/>
        </w:rPr>
        <w:t>III) PATENT</w:t>
      </w:r>
      <w:r w:rsidR="00CE621D" w:rsidRPr="00CE621D">
        <w:rPr>
          <w:b/>
        </w:rPr>
        <w:t xml:space="preserve"> HAKKININ SONA ERMESİ</w:t>
      </w:r>
    </w:p>
    <w:p w:rsidR="004D7F85" w:rsidRDefault="00CE621D" w:rsidP="00872EEE">
      <w:pPr>
        <w:spacing w:before="0" w:after="60" w:line="300" w:lineRule="auto"/>
      </w:pPr>
      <w:r w:rsidRPr="00CE621D">
        <w:rPr>
          <w:b/>
          <w:u w:val="single"/>
        </w:rPr>
        <w:t>HÜKÜMSÜZLÜK</w:t>
      </w:r>
      <w:r>
        <w:t xml:space="preserve"> Kurumun nihai kararından sonra; a) Patent konusu, patent verilebilirlik şartlarını taşımıyorsa, b) Buluş, yeteri kadar açıklanmamışsa, c) Patent konusu, başvurunun ilk hâlinin kapsamını aşıyorsa veya patentin, 91 inci maddeye göre yapılan bölünmüş bir başvuruya veya 110 uncu maddenin üçüncü fıkrasının (b) bendine göre yapılan bir başvuruya dayanması durumunda en önceki başvurunun ilk hâlinin kapsamını aşıyorsa, ç) Patent sahibinin, 109 uncu maddeye göre patent isteme hakkına sahip olmadığı ispatlanmışsa, d) Patentin sağladığı korumanın kapsamı aşılmışsa, patentin hükümsüz kılınmasına ilgili mahkeme tarafından karar verilir (SMK md. 138/1).</w:t>
      </w:r>
    </w:p>
    <w:p w:rsidR="00872EEE" w:rsidRDefault="00872EEE" w:rsidP="00872EEE">
      <w:pPr>
        <w:spacing w:before="0" w:after="60" w:line="300" w:lineRule="auto"/>
      </w:pPr>
      <w:r w:rsidRPr="00872EEE">
        <w:rPr>
          <w:b/>
          <w:u w:val="single"/>
        </w:rPr>
        <w:t>DİĞER SONA ERME NEDENLERİ:</w:t>
      </w:r>
      <w:r w:rsidRPr="00872EEE">
        <w:t xml:space="preserve"> </w:t>
      </w:r>
      <w:r>
        <w:t>Patent hakkı; a) Koruma süresinin dolması, b) Patent sahibinin patent hakkından vazgeçmesi, c) Yıllık ücretlerin 101 inci maddede öngörülen sürelerde ödenmemesi, sebeplerinden birinin gerçekleşmesi ile sona erer (SMK md. 140/1).</w:t>
      </w:r>
    </w:p>
    <w:p w:rsidR="004D7F85" w:rsidRPr="00693337" w:rsidRDefault="004D7F85" w:rsidP="00693337">
      <w:pPr>
        <w:rPr>
          <w:b/>
        </w:rPr>
      </w:pPr>
      <w:r w:rsidRPr="00693337">
        <w:rPr>
          <w:b/>
        </w:rPr>
        <w:t>IV) FAYDALI MODELLER</w:t>
      </w:r>
    </w:p>
    <w:p w:rsidR="00693337" w:rsidRPr="00693337" w:rsidRDefault="00693337" w:rsidP="00693337">
      <w:r w:rsidRPr="00693337">
        <w:lastRenderedPageBreak/>
        <w:t xml:space="preserve">83 üncü maddenin birinci fıkrası hükmüne göre yeni olan ve 83 üncü maddenin altıncı fıkrası kapsamında sanayiye uygulanabilen buluşlar, faydalı model verilerek korunur. </w:t>
      </w:r>
      <w:r>
        <w:t>(SMK md. 142/1). ) Faydalı modele ilişkin açık bir hüküm bulunmadığı ve faydalı modelin özelliği ile çelişmediği takdirde bu Kanunda patentler için öngörülen hükümler, faydalı modeller hakkında da uygulanır. Aynı kişiye veya halefine, aynı buluş konusunda, aynı koruma kapsamıyla, birbirinden bağımsız olarak birden fazla patent veya faydalı model ya da bu belgelerin her ikisi verilmez (SMK md. 145).</w:t>
      </w:r>
      <w:r>
        <w:cr/>
      </w:r>
    </w:p>
    <w:p w:rsidR="00AD5395" w:rsidRDefault="00AD5395"/>
    <w:sectPr w:rsidR="00AD5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7907"/>
    <w:multiLevelType w:val="hybridMultilevel"/>
    <w:tmpl w:val="11B23D5C"/>
    <w:lvl w:ilvl="0" w:tplc="06540646">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2A1F3290"/>
    <w:multiLevelType w:val="hybridMultilevel"/>
    <w:tmpl w:val="E79010E6"/>
    <w:lvl w:ilvl="0" w:tplc="3A346D26">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0AD"/>
    <w:rsid w:val="001820AD"/>
    <w:rsid w:val="00254406"/>
    <w:rsid w:val="004D7F85"/>
    <w:rsid w:val="00693337"/>
    <w:rsid w:val="00872EEE"/>
    <w:rsid w:val="00AD5395"/>
    <w:rsid w:val="00CE62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AD"/>
    <w:pPr>
      <w:spacing w:before="120" w:after="120" w:line="360" w:lineRule="auto"/>
      <w:ind w:firstLine="709"/>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2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AD"/>
    <w:pPr>
      <w:spacing w:before="120" w:after="120" w:line="360" w:lineRule="auto"/>
      <w:ind w:firstLine="709"/>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Özden Merhacı</dc:creator>
  <cp:lastModifiedBy>zehra</cp:lastModifiedBy>
  <cp:revision>2</cp:revision>
  <dcterms:created xsi:type="dcterms:W3CDTF">2021-01-28T13:30:00Z</dcterms:created>
  <dcterms:modified xsi:type="dcterms:W3CDTF">2021-01-28T13:30:00Z</dcterms:modified>
</cp:coreProperties>
</file>